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76E0" w14:textId="17F330A8" w:rsidR="002F2AEC" w:rsidRDefault="002F2AEC" w:rsidP="00452AE1">
      <w:pPr>
        <w:jc w:val="center"/>
        <w:outlineLvl w:val="0"/>
        <w:rPr>
          <w:b/>
          <w:bCs/>
          <w:smallCaps/>
          <w:u w:val="single"/>
          <w:lang w:val="pt-BR"/>
        </w:rPr>
      </w:pPr>
      <w:bookmarkStart w:id="0" w:name="_Hlk190880916"/>
      <w:proofErr w:type="spellStart"/>
      <w:r>
        <w:rPr>
          <w:b/>
          <w:bCs/>
          <w:smallCaps/>
          <w:u w:val="single"/>
          <w:lang w:val="pt-BR"/>
        </w:rPr>
        <w:t>Orden</w:t>
      </w:r>
      <w:proofErr w:type="spellEnd"/>
      <w:r w:rsidRPr="001E6DDE">
        <w:rPr>
          <w:b/>
          <w:bCs/>
          <w:smallCaps/>
          <w:u w:val="single"/>
          <w:lang w:val="pt-BR"/>
        </w:rPr>
        <w:t xml:space="preserve"> de Compra</w:t>
      </w:r>
    </w:p>
    <w:p w14:paraId="79DAF6CD" w14:textId="77777777" w:rsidR="00452AE1" w:rsidRPr="00452AE1" w:rsidRDefault="00452AE1" w:rsidP="00452AE1">
      <w:pPr>
        <w:jc w:val="center"/>
        <w:outlineLvl w:val="0"/>
        <w:rPr>
          <w:lang w:val="pt-BR"/>
        </w:rPr>
      </w:pPr>
    </w:p>
    <w:p w14:paraId="3C7A5669" w14:textId="77777777" w:rsidR="00452AE1" w:rsidRDefault="00452AE1" w:rsidP="00452AE1">
      <w:pPr>
        <w:pStyle w:val="Textodebloque"/>
        <w:spacing w:after="0"/>
        <w:jc w:val="center"/>
        <w:rPr>
          <w:rFonts w:ascii="Times New Roman" w:cs="Times New Roman"/>
          <w:b/>
          <w:sz w:val="20"/>
          <w:szCs w:val="20"/>
          <w:lang w:val="es-AR"/>
        </w:rPr>
      </w:pPr>
      <w:r w:rsidRPr="00D12CAE">
        <w:rPr>
          <w:rFonts w:ascii="Times New Roman" w:cs="Times New Roman"/>
          <w:b/>
          <w:sz w:val="20"/>
          <w:szCs w:val="20"/>
          <w:lang w:val="es-AR"/>
        </w:rPr>
        <w:t>COLOCADOR</w:t>
      </w:r>
    </w:p>
    <w:p w14:paraId="3C51BD81" w14:textId="77777777" w:rsidR="00452AE1" w:rsidRPr="00D12CAE" w:rsidRDefault="00452AE1" w:rsidP="00452AE1">
      <w:pPr>
        <w:adjustRightInd w:val="0"/>
        <w:jc w:val="center"/>
        <w:rPr>
          <w:lang w:eastAsia="en-US"/>
        </w:rPr>
      </w:pPr>
      <w:r w:rsidRPr="00D12CAE">
        <w:rPr>
          <w:noProof/>
          <w:lang w:eastAsia="es-AR"/>
        </w:rPr>
        <w:drawing>
          <wp:inline distT="0" distB="0" distL="0" distR="0" wp14:anchorId="41A84D85" wp14:editId="70B2B025">
            <wp:extent cx="1250950" cy="597193"/>
            <wp:effectExtent l="0" t="0" r="0" b="0"/>
            <wp:docPr id="159278071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57091" name="Gráfico 1"/>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1257139" cy="600147"/>
                    </a:xfrm>
                    <a:prstGeom prst="rect">
                      <a:avLst/>
                    </a:prstGeom>
                  </pic:spPr>
                </pic:pic>
              </a:graphicData>
            </a:graphic>
          </wp:inline>
        </w:drawing>
      </w:r>
    </w:p>
    <w:p w14:paraId="26DFE305" w14:textId="77777777" w:rsidR="00452AE1" w:rsidRPr="00D12CAE" w:rsidRDefault="00452AE1" w:rsidP="00452AE1">
      <w:pPr>
        <w:adjustRightInd w:val="0"/>
        <w:jc w:val="center"/>
        <w:rPr>
          <w:lang w:eastAsia="en-US"/>
        </w:rPr>
      </w:pPr>
    </w:p>
    <w:p w14:paraId="7614F288" w14:textId="77777777" w:rsidR="00452AE1" w:rsidRPr="001A5B9C" w:rsidRDefault="00452AE1" w:rsidP="00452AE1">
      <w:pPr>
        <w:adjustRightInd w:val="0"/>
        <w:jc w:val="center"/>
        <w:rPr>
          <w:rFonts w:eastAsia="Arial Unicode MS"/>
          <w:b/>
          <w:bCs/>
          <w:sz w:val="20"/>
        </w:rPr>
      </w:pPr>
      <w:r w:rsidRPr="001A5B9C">
        <w:rPr>
          <w:rFonts w:eastAsia="Arial Unicode MS"/>
          <w:b/>
          <w:bCs/>
          <w:sz w:val="20"/>
        </w:rPr>
        <w:t>Banco de Servicios y Transacciones S.A.U.</w:t>
      </w:r>
    </w:p>
    <w:p w14:paraId="1CA942B2" w14:textId="77777777" w:rsidR="00452AE1" w:rsidRPr="001A5B9C" w:rsidRDefault="00452AE1" w:rsidP="00452AE1">
      <w:pPr>
        <w:adjustRightInd w:val="0"/>
        <w:jc w:val="center"/>
        <w:rPr>
          <w:rFonts w:eastAsia="Arial Unicode MS"/>
          <w:sz w:val="20"/>
        </w:rPr>
      </w:pPr>
      <w:r w:rsidRPr="001A5B9C">
        <w:rPr>
          <w:rFonts w:eastAsia="Arial Unicode MS"/>
          <w:sz w:val="20"/>
        </w:rPr>
        <w:t xml:space="preserve">Agente de Liquidación y Compensación y </w:t>
      </w:r>
    </w:p>
    <w:p w14:paraId="247060BC" w14:textId="77777777" w:rsidR="00452AE1" w:rsidRPr="001A5B9C" w:rsidRDefault="00452AE1" w:rsidP="00452AE1">
      <w:pPr>
        <w:adjustRightInd w:val="0"/>
        <w:jc w:val="center"/>
        <w:rPr>
          <w:rFonts w:eastAsia="Arial Unicode MS"/>
          <w:sz w:val="20"/>
        </w:rPr>
      </w:pPr>
      <w:r w:rsidRPr="001A5B9C">
        <w:rPr>
          <w:rFonts w:eastAsia="Arial Unicode MS"/>
          <w:sz w:val="20"/>
        </w:rPr>
        <w:t>Agente de Negociación Integral</w:t>
      </w:r>
    </w:p>
    <w:p w14:paraId="063BDD60" w14:textId="77777777" w:rsidR="00452AE1" w:rsidRPr="001A5B9C" w:rsidRDefault="00452AE1" w:rsidP="00452AE1">
      <w:pPr>
        <w:adjustRightInd w:val="0"/>
        <w:jc w:val="center"/>
        <w:rPr>
          <w:rFonts w:eastAsia="Arial Unicode MS"/>
          <w:sz w:val="20"/>
        </w:rPr>
      </w:pPr>
      <w:r w:rsidRPr="001A5B9C">
        <w:rPr>
          <w:rFonts w:eastAsia="Arial Unicode MS"/>
          <w:sz w:val="20"/>
        </w:rPr>
        <w:t>Matrícula CNV N°64</w:t>
      </w:r>
    </w:p>
    <w:p w14:paraId="7B9C47F0" w14:textId="77777777" w:rsidR="002F2AEC" w:rsidRPr="001E6DDE" w:rsidRDefault="002F2AEC" w:rsidP="002F2AEC">
      <w:pPr>
        <w:jc w:val="center"/>
        <w:rPr>
          <w:b/>
          <w:bCs/>
          <w:lang w:val="pt-BR"/>
        </w:rPr>
      </w:pPr>
    </w:p>
    <w:p w14:paraId="3580B6DA" w14:textId="77777777" w:rsidR="002F2AEC" w:rsidRPr="001E6DDE" w:rsidRDefault="002F2AEC" w:rsidP="002F2AEC">
      <w:pPr>
        <w:widowControl w:val="0"/>
        <w:rPr>
          <w:lang w:val="pt-BR"/>
        </w:rPr>
      </w:pPr>
    </w:p>
    <w:p w14:paraId="25F39BFE" w14:textId="373980A0" w:rsidR="002F2AEC" w:rsidRPr="00097457" w:rsidRDefault="002F2AEC" w:rsidP="002F2AEC">
      <w:pPr>
        <w:widowControl w:val="0"/>
        <w:jc w:val="right"/>
        <w:rPr>
          <w:lang w:val="es-AR"/>
        </w:rPr>
      </w:pPr>
      <w:r>
        <w:rPr>
          <w:lang w:val="es-AR"/>
        </w:rPr>
        <w:t>Ciudad de Buenos Aires</w:t>
      </w:r>
      <w:r w:rsidRPr="00097457">
        <w:rPr>
          <w:lang w:val="es-AR"/>
        </w:rPr>
        <w:t>,</w:t>
      </w:r>
      <w:r>
        <w:rPr>
          <w:lang w:val="es-AR"/>
        </w:rPr>
        <w:t xml:space="preserve"> </w:t>
      </w:r>
      <w:r w:rsidR="00452AE1">
        <w:rPr>
          <w:lang w:val="es-AR"/>
        </w:rPr>
        <w:t>9</w:t>
      </w:r>
      <w:r w:rsidRPr="00F7393F">
        <w:rPr>
          <w:lang w:val="es-AR"/>
        </w:rPr>
        <w:t xml:space="preserve"> de </w:t>
      </w:r>
      <w:r w:rsidR="00452AE1">
        <w:rPr>
          <w:sz w:val="22"/>
          <w:szCs w:val="22"/>
          <w:lang w:val="es-AR"/>
        </w:rPr>
        <w:t>diciembre</w:t>
      </w:r>
      <w:r>
        <w:rPr>
          <w:sz w:val="22"/>
          <w:szCs w:val="22"/>
          <w:lang w:val="es-AR"/>
        </w:rPr>
        <w:t xml:space="preserve"> </w:t>
      </w:r>
      <w:r>
        <w:rPr>
          <w:lang w:val="es-AR"/>
        </w:rPr>
        <w:t>de</w:t>
      </w:r>
      <w:r w:rsidRPr="00097457">
        <w:rPr>
          <w:lang w:val="es-AR"/>
        </w:rPr>
        <w:t xml:space="preserve"> 202</w:t>
      </w:r>
      <w:r>
        <w:rPr>
          <w:lang w:val="es-AR"/>
        </w:rPr>
        <w:t>5</w:t>
      </w:r>
    </w:p>
    <w:p w14:paraId="0DB42E1A" w14:textId="77777777" w:rsidR="002F2AEC" w:rsidRPr="00097457" w:rsidRDefault="002F2AEC" w:rsidP="002F2AEC">
      <w:pPr>
        <w:pStyle w:val="Piedepgina"/>
        <w:widowControl w:val="0"/>
        <w:rPr>
          <w:lang w:val="es-AR"/>
        </w:rPr>
      </w:pPr>
    </w:p>
    <w:p w14:paraId="54595238" w14:textId="77777777" w:rsidR="002F2AEC" w:rsidRPr="00097457" w:rsidRDefault="002F2AEC" w:rsidP="002F2AEC">
      <w:pPr>
        <w:widowControl w:val="0"/>
        <w:rPr>
          <w:lang w:val="es-AR"/>
        </w:rPr>
      </w:pPr>
      <w:r w:rsidRPr="00097457">
        <w:rPr>
          <w:lang w:val="es-AR"/>
        </w:rPr>
        <w:t>Señores</w:t>
      </w:r>
    </w:p>
    <w:p w14:paraId="01B3FFB8" w14:textId="77777777" w:rsidR="002F2AEC" w:rsidRPr="00097457" w:rsidRDefault="002F2AEC" w:rsidP="002F2AEC">
      <w:pPr>
        <w:jc w:val="center"/>
        <w:rPr>
          <w:b/>
          <w:bCs/>
          <w:lang w:val="es-AR"/>
        </w:rPr>
      </w:pPr>
    </w:p>
    <w:p w14:paraId="7165F35B" w14:textId="31B51A7A" w:rsidR="002F2AEC" w:rsidRPr="003657B8" w:rsidRDefault="002F2AEC" w:rsidP="002F2AEC">
      <w:pPr>
        <w:jc w:val="both"/>
        <w:rPr>
          <w:b/>
          <w:bCs/>
        </w:rPr>
      </w:pPr>
      <w:r w:rsidRPr="00F441FE">
        <w:rPr>
          <w:b/>
        </w:rPr>
        <w:t>Banco de Servicios y Transacciones S.A.U.</w:t>
      </w:r>
      <w:r>
        <w:rPr>
          <w:b/>
        </w:rPr>
        <w:t xml:space="preserve"> </w:t>
      </w:r>
    </w:p>
    <w:p w14:paraId="6F35EF22" w14:textId="77777777" w:rsidR="002F2AEC" w:rsidRPr="003657B8" w:rsidRDefault="002F2AEC" w:rsidP="002F2AEC">
      <w:pPr>
        <w:jc w:val="both"/>
      </w:pPr>
    </w:p>
    <w:p w14:paraId="636732BA" w14:textId="77777777" w:rsidR="002F2AEC" w:rsidRPr="004F44B0" w:rsidRDefault="002F2AEC" w:rsidP="002F2AEC">
      <w:pPr>
        <w:jc w:val="both"/>
      </w:pPr>
      <w:r>
        <w:t>Ciudad Autónoma de Buenos Aires, República Argentina</w:t>
      </w:r>
    </w:p>
    <w:p w14:paraId="0911EC1B" w14:textId="77777777" w:rsidR="002F2AEC" w:rsidRPr="00097457" w:rsidRDefault="002F2AEC" w:rsidP="002F2AEC">
      <w:pPr>
        <w:widowControl w:val="0"/>
        <w:rPr>
          <w:lang w:val="es-AR"/>
        </w:rPr>
      </w:pPr>
    </w:p>
    <w:p w14:paraId="0F9B75D1" w14:textId="77777777" w:rsidR="002F2AEC" w:rsidRPr="00097457" w:rsidRDefault="002F2AEC" w:rsidP="002F2AEC">
      <w:pPr>
        <w:widowControl w:val="0"/>
        <w:rPr>
          <w:lang w:val="es-AR"/>
        </w:rPr>
      </w:pPr>
      <w:r w:rsidRPr="00097457">
        <w:rPr>
          <w:u w:val="single"/>
          <w:lang w:val="es-AR"/>
        </w:rPr>
        <w:t>Presente</w:t>
      </w:r>
    </w:p>
    <w:p w14:paraId="5A039AA2" w14:textId="77777777" w:rsidR="002F2AEC" w:rsidRPr="00097457" w:rsidRDefault="002F2AEC" w:rsidP="002F2AEC">
      <w:pPr>
        <w:widowControl w:val="0"/>
        <w:rPr>
          <w:lang w:val="es-AR"/>
        </w:rPr>
      </w:pPr>
    </w:p>
    <w:p w14:paraId="57500C2C" w14:textId="77777777" w:rsidR="002F2AEC" w:rsidRPr="007771D8" w:rsidRDefault="002F2AEC" w:rsidP="002F2AEC">
      <w:pPr>
        <w:keepLines/>
        <w:ind w:left="1701"/>
        <w:jc w:val="both"/>
        <w:rPr>
          <w:b/>
          <w:lang w:val="es-AR"/>
        </w:rPr>
      </w:pPr>
      <w:r w:rsidRPr="00097457">
        <w:rPr>
          <w:b/>
          <w:u w:val="single"/>
          <w:lang w:val="es-AR"/>
        </w:rPr>
        <w:t>Ref.</w:t>
      </w:r>
      <w:r w:rsidRPr="00097457">
        <w:rPr>
          <w:b/>
          <w:lang w:val="es-AR"/>
        </w:rPr>
        <w:t>: Solicitud de Orden de Compra</w:t>
      </w:r>
      <w:r>
        <w:rPr>
          <w:b/>
          <w:lang w:val="es-AR"/>
        </w:rPr>
        <w:t xml:space="preserve"> de las </w:t>
      </w:r>
      <w:r w:rsidRPr="00BB7434">
        <w:rPr>
          <w:b/>
          <w:lang w:val="es-AR"/>
        </w:rPr>
        <w:t xml:space="preserve">Obligaciones Negociables Clase </w:t>
      </w:r>
      <w:proofErr w:type="spellStart"/>
      <w:r w:rsidRPr="00BB7434">
        <w:rPr>
          <w:b/>
          <w:lang w:val="es-AR"/>
        </w:rPr>
        <w:t>Nº</w:t>
      </w:r>
      <w:proofErr w:type="spellEnd"/>
      <w:r w:rsidRPr="00BB7434">
        <w:rPr>
          <w:b/>
          <w:lang w:val="es-AR"/>
        </w:rPr>
        <w:t xml:space="preserve"> </w:t>
      </w:r>
      <w:r>
        <w:rPr>
          <w:b/>
          <w:lang w:val="es-AR"/>
        </w:rPr>
        <w:t>3</w:t>
      </w:r>
      <w:r w:rsidRPr="00BB7434">
        <w:rPr>
          <w:b/>
          <w:lang w:val="es-AR"/>
        </w:rPr>
        <w:t xml:space="preserve"> a </w:t>
      </w:r>
      <w:r>
        <w:rPr>
          <w:b/>
          <w:lang w:val="es-AR"/>
        </w:rPr>
        <w:t xml:space="preserve">una </w:t>
      </w:r>
      <w:r w:rsidRPr="00BB7434">
        <w:rPr>
          <w:b/>
          <w:lang w:val="es-AR"/>
        </w:rPr>
        <w:t xml:space="preserve">tasa variable con vencimiento a los </w:t>
      </w:r>
      <w:r>
        <w:rPr>
          <w:b/>
          <w:lang w:val="es-AR"/>
        </w:rPr>
        <w:t>12</w:t>
      </w:r>
      <w:r w:rsidRPr="00BB7434">
        <w:rPr>
          <w:b/>
          <w:lang w:val="es-AR"/>
        </w:rPr>
        <w:t xml:space="preserve"> meses desde la Fecha de Emisión por un valor nominal de hasta </w:t>
      </w:r>
      <w:r w:rsidRPr="003C7C98">
        <w:rPr>
          <w:b/>
          <w:lang w:val="es-AR"/>
        </w:rPr>
        <w:t>$</w:t>
      </w:r>
      <w:r>
        <w:rPr>
          <w:b/>
          <w:lang w:val="es-AR"/>
        </w:rPr>
        <w:t>40</w:t>
      </w:r>
      <w:r w:rsidRPr="003C7C98">
        <w:rPr>
          <w:b/>
          <w:lang w:val="es-AR"/>
        </w:rPr>
        <w:t>.000.000.000</w:t>
      </w:r>
      <w:r>
        <w:rPr>
          <w:b/>
          <w:lang w:val="es-AR"/>
        </w:rPr>
        <w:t xml:space="preserve"> ampliable hasta $80.000.000.000 (el “</w:t>
      </w:r>
      <w:r w:rsidRPr="00D616D9">
        <w:rPr>
          <w:b/>
          <w:u w:val="single"/>
          <w:lang w:val="es-AR"/>
        </w:rPr>
        <w:t>Monto Máximo de Emisión</w:t>
      </w:r>
      <w:r>
        <w:rPr>
          <w:b/>
          <w:lang w:val="es-AR"/>
        </w:rPr>
        <w:t>”)</w:t>
      </w:r>
      <w:r w:rsidRPr="00BB7434">
        <w:rPr>
          <w:b/>
          <w:lang w:val="es-AR"/>
        </w:rPr>
        <w:t xml:space="preserve"> </w:t>
      </w:r>
      <w:r>
        <w:rPr>
          <w:b/>
          <w:lang w:val="es-AR"/>
        </w:rPr>
        <w:t>(las “</w:t>
      </w:r>
      <w:r w:rsidRPr="00404AFA">
        <w:rPr>
          <w:b/>
          <w:u w:val="single"/>
          <w:lang w:val="es-AR"/>
        </w:rPr>
        <w:t>Obligaciones Negociables</w:t>
      </w:r>
      <w:r>
        <w:rPr>
          <w:b/>
          <w:lang w:val="es-AR"/>
        </w:rPr>
        <w:t xml:space="preserve">”) </w:t>
      </w:r>
      <w:r w:rsidRPr="00BB7434">
        <w:rPr>
          <w:b/>
          <w:lang w:val="es-AR"/>
        </w:rPr>
        <w:t xml:space="preserve">a ser emitidas bajo el </w:t>
      </w:r>
      <w:r>
        <w:rPr>
          <w:b/>
          <w:lang w:val="es-AR"/>
        </w:rPr>
        <w:t>Régimen de Emisor Frecuente (“</w:t>
      </w:r>
      <w:r>
        <w:rPr>
          <w:b/>
          <w:u w:val="single"/>
          <w:lang w:val="es-AR"/>
        </w:rPr>
        <w:t>REF</w:t>
      </w:r>
      <w:r>
        <w:rPr>
          <w:b/>
          <w:lang w:val="es-AR"/>
        </w:rPr>
        <w:t>”).</w:t>
      </w:r>
    </w:p>
    <w:p w14:paraId="34EFCD3A" w14:textId="77777777" w:rsidR="002F2AEC" w:rsidRPr="00097457" w:rsidRDefault="002F2AEC" w:rsidP="002F2AEC">
      <w:pPr>
        <w:keepLines/>
        <w:ind w:left="1701"/>
        <w:jc w:val="both"/>
        <w:rPr>
          <w:b/>
          <w:lang w:val="es-AR"/>
        </w:rPr>
      </w:pPr>
      <w:r w:rsidRPr="00097457">
        <w:rPr>
          <w:b/>
          <w:lang w:val="es-AR"/>
        </w:rPr>
        <w:t xml:space="preserve"> </w:t>
      </w:r>
    </w:p>
    <w:p w14:paraId="6EA0EA5B" w14:textId="77777777" w:rsidR="002F2AEC" w:rsidRPr="00097457" w:rsidRDefault="002F2AEC" w:rsidP="002F2AEC">
      <w:pPr>
        <w:ind w:right="-80"/>
        <w:jc w:val="both"/>
        <w:rPr>
          <w:b/>
          <w:lang w:val="es-AR"/>
        </w:rPr>
      </w:pPr>
    </w:p>
    <w:p w14:paraId="2E4B9F6B" w14:textId="77777777" w:rsidR="002F2AEC" w:rsidRPr="00097457" w:rsidRDefault="002F2AEC" w:rsidP="002F2AEC">
      <w:pPr>
        <w:widowControl w:val="0"/>
        <w:jc w:val="both"/>
        <w:rPr>
          <w:lang w:val="es-AR"/>
        </w:rPr>
      </w:pPr>
      <w:r w:rsidRPr="00097457">
        <w:rPr>
          <w:lang w:val="es-AR"/>
        </w:rPr>
        <w:t>De mi consideración:</w:t>
      </w:r>
    </w:p>
    <w:p w14:paraId="262F972D" w14:textId="77777777" w:rsidR="002F2AEC" w:rsidRPr="00097457" w:rsidRDefault="002F2AEC" w:rsidP="002F2AEC">
      <w:pPr>
        <w:widowControl w:val="0"/>
        <w:jc w:val="both"/>
        <w:rPr>
          <w:lang w:val="es-AR"/>
        </w:rPr>
      </w:pPr>
    </w:p>
    <w:p w14:paraId="0AC761E2" w14:textId="77969269" w:rsidR="002F2AEC" w:rsidRDefault="002F2AEC" w:rsidP="002F2AEC">
      <w:pPr>
        <w:jc w:val="both"/>
        <w:rPr>
          <w:lang w:val="es-AR"/>
        </w:rPr>
      </w:pPr>
      <w:r w:rsidRPr="00097457">
        <w:rPr>
          <w:lang w:val="es-AR"/>
        </w:rPr>
        <w:tab/>
        <w:t xml:space="preserve">Por medio de la presente </w:t>
      </w:r>
      <w:r>
        <w:rPr>
          <w:lang w:val="es-AR"/>
        </w:rPr>
        <w:t>orden de compra (la “</w:t>
      </w:r>
      <w:r>
        <w:rPr>
          <w:u w:val="single"/>
          <w:lang w:val="es-AR"/>
        </w:rPr>
        <w:t>Orden de Compra</w:t>
      </w:r>
      <w:r>
        <w:rPr>
          <w:lang w:val="es-AR"/>
        </w:rPr>
        <w:t xml:space="preserve">”), </w:t>
      </w:r>
      <w:r w:rsidRPr="00097457">
        <w:rPr>
          <w:lang w:val="es-AR"/>
        </w:rPr>
        <w:t xml:space="preserve">el abajo </w:t>
      </w:r>
      <w:r w:rsidRPr="0001061D">
        <w:rPr>
          <w:lang w:val="es-AR"/>
        </w:rPr>
        <w:t>firmante (el “</w:t>
      </w:r>
      <w:r w:rsidRPr="0001061D">
        <w:rPr>
          <w:u w:val="single"/>
          <w:lang w:val="es-AR"/>
        </w:rPr>
        <w:t>Inversor</w:t>
      </w:r>
      <w:r w:rsidRPr="0001061D">
        <w:rPr>
          <w:lang w:val="es-AR"/>
        </w:rPr>
        <w:t>”), se dirige a</w:t>
      </w:r>
      <w:r w:rsidRPr="0001061D">
        <w:rPr>
          <w:b/>
        </w:rPr>
        <w:t xml:space="preserve"> </w:t>
      </w:r>
      <w:r w:rsidRPr="007A1CDF">
        <w:rPr>
          <w:bCs/>
        </w:rPr>
        <w:t xml:space="preserve">Banco de Servicios y Transacciones S.A.U. </w:t>
      </w:r>
      <w:r>
        <w:rPr>
          <w:lang w:val="es-AR"/>
        </w:rPr>
        <w:t xml:space="preserve"> </w:t>
      </w:r>
      <w:r w:rsidRPr="0001061D">
        <w:rPr>
          <w:lang w:val="es-AR"/>
        </w:rPr>
        <w:t>en su carácter</w:t>
      </w:r>
      <w:r>
        <w:rPr>
          <w:lang w:val="es-AR"/>
        </w:rPr>
        <w:t xml:space="preserve"> de</w:t>
      </w:r>
      <w:r w:rsidRPr="0001061D">
        <w:rPr>
          <w:lang w:val="es-AR"/>
        </w:rPr>
        <w:t xml:space="preserve"> agente colocador</w:t>
      </w:r>
      <w:r>
        <w:rPr>
          <w:lang w:val="es-AR"/>
        </w:rPr>
        <w:t xml:space="preserve"> </w:t>
      </w:r>
      <w:r w:rsidRPr="0001061D">
        <w:rPr>
          <w:lang w:val="es-AR"/>
        </w:rPr>
        <w:t>(el</w:t>
      </w:r>
      <w:r>
        <w:rPr>
          <w:lang w:val="es-AR"/>
        </w:rPr>
        <w:t xml:space="preserve"> </w:t>
      </w:r>
      <w:r w:rsidRPr="0001061D">
        <w:rPr>
          <w:lang w:val="es-AR"/>
        </w:rPr>
        <w:t>“</w:t>
      </w:r>
      <w:r w:rsidRPr="0001061D">
        <w:rPr>
          <w:u w:val="single"/>
          <w:lang w:val="es-AR"/>
        </w:rPr>
        <w:t>Agente Colocador</w:t>
      </w:r>
      <w:r>
        <w:rPr>
          <w:lang w:val="es-AR"/>
        </w:rPr>
        <w:t>”</w:t>
      </w:r>
      <w:r w:rsidRPr="00097457">
        <w:rPr>
          <w:lang w:val="es-AR"/>
        </w:rPr>
        <w:t>) de las Obligaciones Negociables, a ser emitidas por Arcor S.A.I.C. (la “</w:t>
      </w:r>
      <w:r w:rsidRPr="00097457">
        <w:rPr>
          <w:u w:val="single"/>
          <w:lang w:val="es-AR"/>
        </w:rPr>
        <w:t>Emisora</w:t>
      </w:r>
      <w:r w:rsidRPr="00097457">
        <w:rPr>
          <w:lang w:val="es-AR"/>
        </w:rPr>
        <w:t xml:space="preserve">”) bajo el </w:t>
      </w:r>
      <w:r>
        <w:rPr>
          <w:lang w:val="es-AR"/>
        </w:rPr>
        <w:t>REF</w:t>
      </w:r>
      <w:r w:rsidRPr="00097457">
        <w:rPr>
          <w:lang w:val="es-AR"/>
        </w:rPr>
        <w:t xml:space="preserve"> de acuerdo a los términos y condiciones establecidos en el </w:t>
      </w:r>
      <w:r>
        <w:rPr>
          <w:lang w:val="es-AR"/>
        </w:rPr>
        <w:t>p</w:t>
      </w:r>
      <w:r w:rsidRPr="00097457">
        <w:rPr>
          <w:lang w:val="es-AR"/>
        </w:rPr>
        <w:t xml:space="preserve">rospecto de fecha </w:t>
      </w:r>
      <w:r>
        <w:rPr>
          <w:lang w:val="es-AR"/>
        </w:rPr>
        <w:t>3</w:t>
      </w:r>
      <w:r w:rsidRPr="0097564C">
        <w:rPr>
          <w:lang w:val="es-AR"/>
        </w:rPr>
        <w:t xml:space="preserve"> de </w:t>
      </w:r>
      <w:r>
        <w:rPr>
          <w:lang w:val="es-AR"/>
        </w:rPr>
        <w:t xml:space="preserve">julio </w:t>
      </w:r>
      <w:r w:rsidRPr="0097564C">
        <w:rPr>
          <w:lang w:val="es-AR"/>
        </w:rPr>
        <w:t>de 202</w:t>
      </w:r>
      <w:r>
        <w:rPr>
          <w:lang w:val="es-AR"/>
        </w:rPr>
        <w:t xml:space="preserve">5 </w:t>
      </w:r>
      <w:r w:rsidRPr="00097457">
        <w:rPr>
          <w:lang w:val="es-AR"/>
        </w:rPr>
        <w:t>(el “</w:t>
      </w:r>
      <w:r w:rsidRPr="00097457">
        <w:rPr>
          <w:u w:val="single"/>
          <w:lang w:val="es-AR"/>
        </w:rPr>
        <w:t>Prospecto</w:t>
      </w:r>
      <w:r w:rsidRPr="00097457">
        <w:rPr>
          <w:lang w:val="es-AR"/>
        </w:rPr>
        <w:t>”)</w:t>
      </w:r>
      <w:r>
        <w:rPr>
          <w:lang w:val="es-AR"/>
        </w:rPr>
        <w:t>,</w:t>
      </w:r>
      <w:r w:rsidRPr="00097457">
        <w:rPr>
          <w:lang w:val="es-AR"/>
        </w:rPr>
        <w:t xml:space="preserve"> el </w:t>
      </w:r>
      <w:r>
        <w:rPr>
          <w:lang w:val="es-AR"/>
        </w:rPr>
        <w:t>s</w:t>
      </w:r>
      <w:r w:rsidRPr="00097457">
        <w:rPr>
          <w:lang w:val="es-AR"/>
        </w:rPr>
        <w:t xml:space="preserve">uplemento de </w:t>
      </w:r>
      <w:r>
        <w:rPr>
          <w:lang w:val="es-AR"/>
        </w:rPr>
        <w:t>p</w:t>
      </w:r>
      <w:r w:rsidRPr="00097457">
        <w:rPr>
          <w:lang w:val="es-AR"/>
        </w:rPr>
        <w:t>r</w:t>
      </w:r>
      <w:r>
        <w:rPr>
          <w:lang w:val="es-AR"/>
        </w:rPr>
        <w:t>ospecto</w:t>
      </w:r>
      <w:r w:rsidRPr="00097457">
        <w:rPr>
          <w:lang w:val="es-AR"/>
        </w:rPr>
        <w:t xml:space="preserve"> de fecha </w:t>
      </w:r>
      <w:r>
        <w:rPr>
          <w:sz w:val="22"/>
          <w:szCs w:val="22"/>
          <w:lang w:val="es-AR"/>
        </w:rPr>
        <w:t xml:space="preserve">9 </w:t>
      </w:r>
      <w:r w:rsidRPr="006A11B1">
        <w:rPr>
          <w:sz w:val="22"/>
          <w:szCs w:val="22"/>
          <w:lang w:val="es-AR"/>
        </w:rPr>
        <w:t xml:space="preserve">de </w:t>
      </w:r>
      <w:r>
        <w:rPr>
          <w:sz w:val="22"/>
          <w:szCs w:val="22"/>
          <w:lang w:val="es-AR"/>
        </w:rPr>
        <w:t xml:space="preserve">diciembre de </w:t>
      </w:r>
      <w:r w:rsidRPr="006A11B1">
        <w:rPr>
          <w:lang w:val="es-AR"/>
        </w:rPr>
        <w:t>202</w:t>
      </w:r>
      <w:r>
        <w:rPr>
          <w:lang w:val="es-AR"/>
        </w:rPr>
        <w:t>5</w:t>
      </w:r>
      <w:r w:rsidRPr="00097457">
        <w:rPr>
          <w:lang w:val="es-AR"/>
        </w:rPr>
        <w:t xml:space="preserve"> (el “</w:t>
      </w:r>
      <w:r w:rsidRPr="00097457">
        <w:rPr>
          <w:u w:val="single"/>
          <w:lang w:val="es-AR"/>
        </w:rPr>
        <w:t>Suplemento de</w:t>
      </w:r>
      <w:r>
        <w:rPr>
          <w:u w:val="single"/>
          <w:lang w:val="es-AR"/>
        </w:rPr>
        <w:t xml:space="preserve"> </w:t>
      </w:r>
      <w:r w:rsidRPr="008F254C">
        <w:rPr>
          <w:rFonts w:eastAsia="Arial Unicode MS"/>
          <w:u w:val="single"/>
          <w:lang w:val="es-AR"/>
        </w:rPr>
        <w:t>Prospecto</w:t>
      </w:r>
      <w:r w:rsidRPr="00097457">
        <w:rPr>
          <w:lang w:val="es-AR"/>
        </w:rPr>
        <w:t>”</w:t>
      </w:r>
      <w:r>
        <w:rPr>
          <w:lang w:val="es-AR"/>
        </w:rPr>
        <w:t xml:space="preserve">), el aviso de suscripción de fecha 9 </w:t>
      </w:r>
      <w:r w:rsidRPr="006A11B1">
        <w:rPr>
          <w:sz w:val="22"/>
          <w:szCs w:val="22"/>
          <w:lang w:val="es-AR"/>
        </w:rPr>
        <w:t xml:space="preserve">de </w:t>
      </w:r>
      <w:r>
        <w:rPr>
          <w:sz w:val="22"/>
          <w:szCs w:val="22"/>
          <w:lang w:val="es-AR"/>
        </w:rPr>
        <w:t xml:space="preserve">diciembre </w:t>
      </w:r>
      <w:r>
        <w:rPr>
          <w:lang w:val="es-AR"/>
        </w:rPr>
        <w:t xml:space="preserve">de </w:t>
      </w:r>
      <w:r w:rsidRPr="006A11B1">
        <w:rPr>
          <w:lang w:val="es-AR"/>
        </w:rPr>
        <w:t>202</w:t>
      </w:r>
      <w:r>
        <w:rPr>
          <w:lang w:val="es-AR"/>
        </w:rPr>
        <w:t>5</w:t>
      </w:r>
      <w:r>
        <w:rPr>
          <w:bCs/>
          <w:sz w:val="22"/>
          <w:szCs w:val="22"/>
          <w:lang w:val="es-AR"/>
        </w:rPr>
        <w:t xml:space="preserve"> (el “</w:t>
      </w:r>
      <w:r w:rsidRPr="000F408C">
        <w:rPr>
          <w:u w:val="single"/>
          <w:lang w:val="es-AR"/>
        </w:rPr>
        <w:t>Aviso de Suscripción</w:t>
      </w:r>
      <w:r w:rsidRPr="009E5643">
        <w:rPr>
          <w:lang w:val="es-AR"/>
        </w:rPr>
        <w:t>”</w:t>
      </w:r>
      <w:r>
        <w:rPr>
          <w:lang w:val="es-AR"/>
        </w:rPr>
        <w:t>) y el aviso complementario de fecha 9 de diciembre de 2025 (el “</w:t>
      </w:r>
      <w:r>
        <w:rPr>
          <w:u w:val="single"/>
          <w:lang w:val="es-AR"/>
        </w:rPr>
        <w:t>Aviso Complementario</w:t>
      </w:r>
      <w:r>
        <w:rPr>
          <w:lang w:val="es-AR"/>
        </w:rPr>
        <w:t>”,</w:t>
      </w:r>
      <w:r w:rsidRPr="000F408C">
        <w:rPr>
          <w:lang w:val="es-AR"/>
        </w:rPr>
        <w:t xml:space="preserve"> </w:t>
      </w:r>
      <w:r w:rsidRPr="00097457">
        <w:rPr>
          <w:lang w:val="es-AR"/>
        </w:rPr>
        <w:t>y</w:t>
      </w:r>
      <w:r>
        <w:rPr>
          <w:lang w:val="es-AR"/>
        </w:rPr>
        <w:t xml:space="preserve"> </w:t>
      </w:r>
      <w:r w:rsidRPr="00097457">
        <w:rPr>
          <w:lang w:val="es-AR"/>
        </w:rPr>
        <w:t>c</w:t>
      </w:r>
      <w:r>
        <w:rPr>
          <w:lang w:val="es-AR"/>
        </w:rPr>
        <w:t xml:space="preserve">onjuntamente con el Prospecto, el Suplemento de </w:t>
      </w:r>
      <w:r w:rsidRPr="00097457">
        <w:rPr>
          <w:rFonts w:eastAsia="Arial Unicode MS"/>
          <w:lang w:val="es-AR"/>
        </w:rPr>
        <w:t>Pr</w:t>
      </w:r>
      <w:r>
        <w:rPr>
          <w:rFonts w:eastAsia="Arial Unicode MS"/>
          <w:lang w:val="es-AR"/>
        </w:rPr>
        <w:t>ospecto, y el Aviso de Suscripción</w:t>
      </w:r>
      <w:r w:rsidRPr="00097457">
        <w:rPr>
          <w:lang w:val="es-AR"/>
        </w:rPr>
        <w:t xml:space="preserve"> </w:t>
      </w:r>
      <w:r>
        <w:rPr>
          <w:lang w:val="es-AR"/>
        </w:rPr>
        <w:t xml:space="preserve">y </w:t>
      </w:r>
      <w:r w:rsidRPr="00097457">
        <w:rPr>
          <w:lang w:val="es-AR"/>
        </w:rPr>
        <w:t>cualquier otro aviso que se publique conforme al Suplemento de</w:t>
      </w:r>
      <w:r>
        <w:rPr>
          <w:lang w:val="es-AR"/>
        </w:rPr>
        <w:t xml:space="preserve"> </w:t>
      </w:r>
      <w:r w:rsidRPr="00097457">
        <w:rPr>
          <w:rFonts w:eastAsia="Arial Unicode MS"/>
          <w:lang w:val="es-AR"/>
        </w:rPr>
        <w:t>Pr</w:t>
      </w:r>
      <w:r>
        <w:rPr>
          <w:rFonts w:eastAsia="Arial Unicode MS"/>
          <w:lang w:val="es-AR"/>
        </w:rPr>
        <w:t>ospecto</w:t>
      </w:r>
      <w:r w:rsidRPr="00097457">
        <w:rPr>
          <w:lang w:val="es-AR"/>
        </w:rPr>
        <w:t xml:space="preserve"> y su documentación conexa, los “</w:t>
      </w:r>
      <w:r w:rsidRPr="00097457">
        <w:rPr>
          <w:u w:val="single"/>
          <w:lang w:val="es-AR"/>
        </w:rPr>
        <w:t>Documentos Informativos</w:t>
      </w:r>
      <w:r w:rsidRPr="00097457">
        <w:rPr>
          <w:lang w:val="es-AR"/>
        </w:rPr>
        <w:t>”), a los efectos de suscribir las Obligaciones Negociables que se indican a continuación. Todos los términos en mayúsculas utilizados y no definidos en el presente tendrán el significado que a ellos se les asigna en los Documentos Informativos:</w:t>
      </w:r>
    </w:p>
    <w:p w14:paraId="1E02C7FC" w14:textId="77777777" w:rsidR="002F2AEC" w:rsidRDefault="002F2AEC" w:rsidP="002F2AEC">
      <w:pPr>
        <w:jc w:val="both"/>
        <w:rPr>
          <w:lang w:val="es-AR"/>
        </w:rPr>
      </w:pPr>
    </w:p>
    <w:tbl>
      <w:tblPr>
        <w:tblStyle w:val="Tablaconcuadrcula"/>
        <w:tblW w:w="0" w:type="auto"/>
        <w:tblInd w:w="-5" w:type="dxa"/>
        <w:tblLook w:val="04A0" w:firstRow="1" w:lastRow="0" w:firstColumn="1" w:lastColumn="0" w:noHBand="0" w:noVBand="1"/>
      </w:tblPr>
      <w:tblGrid>
        <w:gridCol w:w="1367"/>
        <w:gridCol w:w="708"/>
        <w:gridCol w:w="659"/>
        <w:gridCol w:w="1367"/>
        <w:gridCol w:w="49"/>
        <w:gridCol w:w="1417"/>
        <w:gridCol w:w="658"/>
        <w:gridCol w:w="709"/>
        <w:gridCol w:w="1367"/>
      </w:tblGrid>
      <w:tr w:rsidR="002F2AEC" w:rsidRPr="009458F0" w14:paraId="14C39CB4" w14:textId="77777777" w:rsidTr="00D76073">
        <w:tc>
          <w:tcPr>
            <w:tcW w:w="8301" w:type="dxa"/>
            <w:gridSpan w:val="9"/>
            <w:shd w:val="clear" w:color="auto" w:fill="BFBFBF" w:themeFill="background1" w:themeFillShade="BF"/>
          </w:tcPr>
          <w:p w14:paraId="6BBEE0D1" w14:textId="77777777" w:rsidR="002F2AEC" w:rsidRPr="009458F0" w:rsidRDefault="002F2AEC" w:rsidP="00D76073">
            <w:pPr>
              <w:pStyle w:val="Prrafodelista"/>
              <w:ind w:left="0"/>
              <w:rPr>
                <w:rFonts w:eastAsia="Arial Unicode MS"/>
                <w:b/>
                <w:color w:val="000000"/>
                <w:sz w:val="22"/>
                <w:szCs w:val="22"/>
              </w:rPr>
            </w:pPr>
            <w:r w:rsidRPr="009458F0">
              <w:rPr>
                <w:rFonts w:eastAsia="Arial Unicode MS"/>
                <w:b/>
                <w:color w:val="000000"/>
                <w:sz w:val="22"/>
                <w:szCs w:val="22"/>
              </w:rPr>
              <w:t xml:space="preserve">OBLIGACIONES NEGOCIABLES CLASE </w:t>
            </w:r>
            <w:r>
              <w:rPr>
                <w:rFonts w:eastAsia="Arial Unicode MS"/>
                <w:b/>
                <w:color w:val="000000"/>
                <w:sz w:val="22"/>
                <w:szCs w:val="22"/>
              </w:rPr>
              <w:t>3</w:t>
            </w:r>
          </w:p>
        </w:tc>
      </w:tr>
      <w:tr w:rsidR="002F2AEC" w:rsidRPr="009458F0" w14:paraId="76F558EC" w14:textId="77777777" w:rsidTr="00D76073">
        <w:tc>
          <w:tcPr>
            <w:tcW w:w="8301" w:type="dxa"/>
            <w:gridSpan w:val="9"/>
            <w:shd w:val="clear" w:color="auto" w:fill="D9D9D9" w:themeFill="background1" w:themeFillShade="D9"/>
          </w:tcPr>
          <w:p w14:paraId="2F5F52B9" w14:textId="77777777" w:rsidR="002F2AEC" w:rsidRPr="009458F0" w:rsidRDefault="002F2AEC" w:rsidP="00D76073">
            <w:pPr>
              <w:pStyle w:val="Prrafodelista"/>
              <w:ind w:left="0"/>
              <w:rPr>
                <w:rFonts w:eastAsia="Arial Unicode MS"/>
                <w:b/>
                <w:color w:val="000000"/>
                <w:sz w:val="22"/>
                <w:szCs w:val="22"/>
              </w:rPr>
            </w:pPr>
            <w:r w:rsidRPr="009458F0">
              <w:rPr>
                <w:rFonts w:eastAsia="Arial Unicode MS"/>
                <w:b/>
                <w:color w:val="000000"/>
                <w:sz w:val="22"/>
                <w:szCs w:val="22"/>
              </w:rPr>
              <w:t>Tramo Competitivo</w:t>
            </w:r>
          </w:p>
        </w:tc>
      </w:tr>
      <w:tr w:rsidR="002F2AEC" w:rsidRPr="009458F0" w14:paraId="6DCF9F99" w14:textId="77777777" w:rsidTr="00D76073">
        <w:tc>
          <w:tcPr>
            <w:tcW w:w="1367" w:type="dxa"/>
          </w:tcPr>
          <w:p w14:paraId="3D614E25" w14:textId="77777777" w:rsidR="002F2AEC" w:rsidRPr="009458F0" w:rsidRDefault="002F2AEC" w:rsidP="00D76073">
            <w:pPr>
              <w:pStyle w:val="Prrafodelista"/>
              <w:ind w:left="0"/>
              <w:rPr>
                <w:rFonts w:eastAsia="Arial Unicode MS"/>
                <w:b/>
                <w:color w:val="000000"/>
                <w:sz w:val="22"/>
                <w:szCs w:val="22"/>
              </w:rPr>
            </w:pPr>
            <w:r>
              <w:rPr>
                <w:rFonts w:eastAsia="Arial Unicode MS"/>
                <w:b/>
                <w:color w:val="000000"/>
                <w:sz w:val="22"/>
                <w:szCs w:val="22"/>
              </w:rPr>
              <w:t>Monto</w:t>
            </w:r>
            <w:r w:rsidRPr="009458F0">
              <w:rPr>
                <w:rFonts w:eastAsia="Arial Unicode MS"/>
                <w:b/>
                <w:color w:val="000000"/>
                <w:sz w:val="22"/>
                <w:szCs w:val="22"/>
              </w:rPr>
              <w:t xml:space="preserve"> </w:t>
            </w:r>
            <w:proofErr w:type="gramStart"/>
            <w:r w:rsidRPr="009458F0">
              <w:rPr>
                <w:rFonts w:eastAsia="Arial Unicode MS"/>
                <w:b/>
                <w:color w:val="000000"/>
                <w:sz w:val="22"/>
                <w:szCs w:val="22"/>
              </w:rPr>
              <w:t>Solicitado</w:t>
            </w:r>
            <w:r w:rsidRPr="009458F0">
              <w:rPr>
                <w:rFonts w:eastAsia="Arial Unicode MS"/>
                <w:b/>
                <w:color w:val="000000"/>
                <w:sz w:val="22"/>
                <w:szCs w:val="22"/>
                <w:vertAlign w:val="superscript"/>
              </w:rPr>
              <w:t>(</w:t>
            </w:r>
            <w:proofErr w:type="gramEnd"/>
            <w:r w:rsidRPr="009458F0">
              <w:rPr>
                <w:rFonts w:eastAsia="Arial Unicode MS"/>
                <w:b/>
                <w:color w:val="000000"/>
                <w:sz w:val="22"/>
                <w:szCs w:val="22"/>
                <w:vertAlign w:val="superscript"/>
              </w:rPr>
              <w:t>1)</w:t>
            </w:r>
          </w:p>
        </w:tc>
        <w:tc>
          <w:tcPr>
            <w:tcW w:w="1367" w:type="dxa"/>
            <w:gridSpan w:val="2"/>
          </w:tcPr>
          <w:p w14:paraId="58FFB762" w14:textId="77777777" w:rsidR="002F2AEC" w:rsidRPr="009458F0" w:rsidRDefault="002F2AEC" w:rsidP="00D76073">
            <w:pPr>
              <w:pStyle w:val="Prrafodelista"/>
              <w:ind w:left="0"/>
              <w:rPr>
                <w:rFonts w:eastAsia="Arial Unicode MS"/>
                <w:b/>
                <w:color w:val="000000"/>
                <w:sz w:val="22"/>
                <w:szCs w:val="22"/>
              </w:rPr>
            </w:pPr>
            <w:r>
              <w:rPr>
                <w:rFonts w:eastAsia="Arial Unicode MS"/>
                <w:b/>
                <w:color w:val="000000"/>
                <w:sz w:val="22"/>
                <w:szCs w:val="22"/>
              </w:rPr>
              <w:t xml:space="preserve">Margen </w:t>
            </w:r>
            <w:proofErr w:type="gramStart"/>
            <w:r>
              <w:rPr>
                <w:rFonts w:eastAsia="Arial Unicode MS"/>
                <w:b/>
                <w:color w:val="000000"/>
                <w:sz w:val="22"/>
                <w:szCs w:val="22"/>
              </w:rPr>
              <w:t>Solicitado</w:t>
            </w:r>
            <w:r w:rsidRPr="009458F0">
              <w:rPr>
                <w:rFonts w:eastAsia="Arial Unicode MS"/>
                <w:b/>
                <w:color w:val="000000"/>
                <w:sz w:val="22"/>
                <w:szCs w:val="22"/>
                <w:vertAlign w:val="superscript"/>
              </w:rPr>
              <w:t>(</w:t>
            </w:r>
            <w:proofErr w:type="gramEnd"/>
            <w:r w:rsidRPr="009458F0">
              <w:rPr>
                <w:rFonts w:eastAsia="Arial Unicode MS"/>
                <w:b/>
                <w:color w:val="000000"/>
                <w:sz w:val="22"/>
                <w:szCs w:val="22"/>
                <w:vertAlign w:val="superscript"/>
              </w:rPr>
              <w:t>2)</w:t>
            </w:r>
          </w:p>
        </w:tc>
        <w:tc>
          <w:tcPr>
            <w:tcW w:w="1367" w:type="dxa"/>
          </w:tcPr>
          <w:p w14:paraId="652B118D" w14:textId="77777777" w:rsidR="002F2AEC" w:rsidRPr="009458F0" w:rsidRDefault="002F2AEC" w:rsidP="00D76073">
            <w:pPr>
              <w:pStyle w:val="Prrafodelista"/>
              <w:ind w:left="0"/>
              <w:rPr>
                <w:rFonts w:eastAsia="Arial Unicode MS"/>
                <w:b/>
                <w:color w:val="000000"/>
                <w:sz w:val="22"/>
                <w:szCs w:val="22"/>
              </w:rPr>
            </w:pPr>
            <w:r w:rsidRPr="009458F0">
              <w:rPr>
                <w:rFonts w:eastAsia="Arial Unicode MS"/>
                <w:b/>
                <w:color w:val="000000"/>
                <w:sz w:val="22"/>
                <w:szCs w:val="22"/>
              </w:rPr>
              <w:t>Cuenta Comitente</w:t>
            </w:r>
          </w:p>
        </w:tc>
        <w:tc>
          <w:tcPr>
            <w:tcW w:w="1466" w:type="dxa"/>
            <w:gridSpan w:val="2"/>
          </w:tcPr>
          <w:p w14:paraId="404D3E17" w14:textId="77777777" w:rsidR="002F2AEC" w:rsidRPr="009458F0" w:rsidRDefault="002F2AEC" w:rsidP="00D76073">
            <w:pPr>
              <w:pStyle w:val="Prrafodelista"/>
              <w:ind w:left="0"/>
              <w:rPr>
                <w:rFonts w:eastAsia="Arial Unicode MS"/>
                <w:b/>
                <w:color w:val="000000"/>
                <w:sz w:val="22"/>
                <w:szCs w:val="22"/>
              </w:rPr>
            </w:pPr>
            <w:proofErr w:type="spellStart"/>
            <w:r w:rsidRPr="009458F0">
              <w:rPr>
                <w:rFonts w:eastAsia="Arial Unicode MS"/>
                <w:b/>
                <w:color w:val="000000"/>
                <w:sz w:val="22"/>
                <w:szCs w:val="22"/>
              </w:rPr>
              <w:t>N°</w:t>
            </w:r>
            <w:proofErr w:type="spellEnd"/>
            <w:r w:rsidRPr="009458F0">
              <w:rPr>
                <w:rFonts w:eastAsia="Arial Unicode MS"/>
                <w:b/>
                <w:color w:val="000000"/>
                <w:sz w:val="22"/>
                <w:szCs w:val="22"/>
              </w:rPr>
              <w:t xml:space="preserve"> Depositante</w:t>
            </w:r>
          </w:p>
        </w:tc>
        <w:tc>
          <w:tcPr>
            <w:tcW w:w="1367" w:type="dxa"/>
            <w:gridSpan w:val="2"/>
          </w:tcPr>
          <w:p w14:paraId="6E53D976" w14:textId="77777777" w:rsidR="002F2AEC" w:rsidRPr="009458F0" w:rsidRDefault="002F2AEC" w:rsidP="00D76073">
            <w:pPr>
              <w:pStyle w:val="Prrafodelista"/>
              <w:ind w:left="0"/>
              <w:rPr>
                <w:rFonts w:eastAsia="Arial Unicode MS"/>
                <w:b/>
                <w:color w:val="000000"/>
                <w:sz w:val="22"/>
                <w:szCs w:val="22"/>
              </w:rPr>
            </w:pPr>
            <w:r w:rsidRPr="009458F0">
              <w:rPr>
                <w:rFonts w:eastAsia="Arial Unicode MS"/>
                <w:b/>
                <w:color w:val="000000"/>
                <w:sz w:val="22"/>
                <w:szCs w:val="22"/>
              </w:rPr>
              <w:t>Nombre del Depositante</w:t>
            </w:r>
          </w:p>
        </w:tc>
        <w:tc>
          <w:tcPr>
            <w:tcW w:w="1367" w:type="dxa"/>
          </w:tcPr>
          <w:p w14:paraId="21CA6D4B" w14:textId="77777777" w:rsidR="002F2AEC" w:rsidRPr="009458F0" w:rsidRDefault="002F2AEC" w:rsidP="00D76073">
            <w:pPr>
              <w:pStyle w:val="Prrafodelista"/>
              <w:ind w:left="0"/>
              <w:rPr>
                <w:rFonts w:eastAsia="Arial Unicode MS"/>
                <w:b/>
                <w:color w:val="000000"/>
                <w:sz w:val="22"/>
                <w:szCs w:val="22"/>
              </w:rPr>
            </w:pPr>
            <w:r w:rsidRPr="009458F0">
              <w:rPr>
                <w:rFonts w:eastAsia="Arial Unicode MS"/>
                <w:b/>
                <w:color w:val="000000"/>
                <w:sz w:val="22"/>
                <w:szCs w:val="22"/>
              </w:rPr>
              <w:t xml:space="preserve">Porcentaje </w:t>
            </w:r>
            <w:proofErr w:type="gramStart"/>
            <w:r w:rsidRPr="009458F0">
              <w:rPr>
                <w:rFonts w:eastAsia="Arial Unicode MS"/>
                <w:b/>
                <w:color w:val="000000"/>
                <w:sz w:val="22"/>
                <w:szCs w:val="22"/>
              </w:rPr>
              <w:t>Máximo</w:t>
            </w:r>
            <w:r w:rsidRPr="009458F0">
              <w:rPr>
                <w:rFonts w:eastAsia="Arial Unicode MS"/>
                <w:b/>
                <w:color w:val="000000"/>
                <w:sz w:val="22"/>
                <w:szCs w:val="22"/>
                <w:vertAlign w:val="superscript"/>
              </w:rPr>
              <w:t>(</w:t>
            </w:r>
            <w:proofErr w:type="gramEnd"/>
            <w:r w:rsidRPr="009458F0">
              <w:rPr>
                <w:rFonts w:eastAsia="Arial Unicode MS"/>
                <w:b/>
                <w:color w:val="000000"/>
                <w:sz w:val="22"/>
                <w:szCs w:val="22"/>
                <w:vertAlign w:val="superscript"/>
              </w:rPr>
              <w:t>3)</w:t>
            </w:r>
          </w:p>
        </w:tc>
      </w:tr>
      <w:tr w:rsidR="002F2AEC" w:rsidRPr="009458F0" w14:paraId="1A3CF459" w14:textId="77777777" w:rsidTr="00D76073">
        <w:tc>
          <w:tcPr>
            <w:tcW w:w="1367" w:type="dxa"/>
          </w:tcPr>
          <w:p w14:paraId="512AAA1D" w14:textId="77777777" w:rsidR="002F2AEC" w:rsidRPr="009458F0" w:rsidRDefault="002F2AEC" w:rsidP="00D76073">
            <w:pPr>
              <w:pStyle w:val="Prrafodelista"/>
              <w:ind w:left="0"/>
              <w:rPr>
                <w:rFonts w:eastAsia="Arial Unicode MS"/>
                <w:color w:val="000000"/>
                <w:sz w:val="22"/>
                <w:szCs w:val="22"/>
              </w:rPr>
            </w:pPr>
            <w:r>
              <w:rPr>
                <w:rFonts w:eastAsia="Arial Unicode MS"/>
                <w:color w:val="000000"/>
                <w:sz w:val="22"/>
                <w:szCs w:val="22"/>
              </w:rPr>
              <w:lastRenderedPageBreak/>
              <w:t>US$</w:t>
            </w:r>
            <w:r w:rsidRPr="009458F0">
              <w:rPr>
                <w:rFonts w:eastAsia="Arial Unicode MS"/>
                <w:sz w:val="22"/>
                <w:szCs w:val="22"/>
              </w:rPr>
              <w:t>[_]</w:t>
            </w:r>
          </w:p>
        </w:tc>
        <w:tc>
          <w:tcPr>
            <w:tcW w:w="1367" w:type="dxa"/>
            <w:gridSpan w:val="2"/>
          </w:tcPr>
          <w:p w14:paraId="6CCD0C59" w14:textId="77777777" w:rsidR="002F2AEC" w:rsidRPr="009458F0" w:rsidRDefault="002F2AEC" w:rsidP="00D76073">
            <w:pPr>
              <w:pStyle w:val="Prrafodelista"/>
              <w:ind w:left="0"/>
              <w:rPr>
                <w:rFonts w:eastAsia="Arial Unicode MS"/>
                <w:color w:val="000000"/>
                <w:sz w:val="22"/>
                <w:szCs w:val="22"/>
              </w:rPr>
            </w:pPr>
            <w:r w:rsidRPr="009458F0">
              <w:rPr>
                <w:rFonts w:eastAsia="Arial Unicode MS"/>
                <w:sz w:val="22"/>
                <w:szCs w:val="22"/>
              </w:rPr>
              <w:t>[_],[_]%</w:t>
            </w:r>
          </w:p>
        </w:tc>
        <w:tc>
          <w:tcPr>
            <w:tcW w:w="1367" w:type="dxa"/>
          </w:tcPr>
          <w:p w14:paraId="115FAF2A" w14:textId="77777777" w:rsidR="002F2AEC" w:rsidRPr="009458F0" w:rsidRDefault="002F2AEC" w:rsidP="00D76073">
            <w:pPr>
              <w:pStyle w:val="Prrafodelista"/>
              <w:ind w:left="0"/>
              <w:rPr>
                <w:rFonts w:eastAsia="Arial Unicode MS"/>
                <w:color w:val="000000"/>
                <w:sz w:val="22"/>
                <w:szCs w:val="22"/>
              </w:rPr>
            </w:pPr>
          </w:p>
        </w:tc>
        <w:tc>
          <w:tcPr>
            <w:tcW w:w="1466" w:type="dxa"/>
            <w:gridSpan w:val="2"/>
          </w:tcPr>
          <w:p w14:paraId="1ECFA96A" w14:textId="77777777" w:rsidR="002F2AEC" w:rsidRPr="009458F0" w:rsidRDefault="002F2AEC" w:rsidP="00D76073">
            <w:pPr>
              <w:pStyle w:val="Prrafodelista"/>
              <w:ind w:left="0"/>
              <w:rPr>
                <w:rFonts w:eastAsia="Arial Unicode MS"/>
                <w:color w:val="000000"/>
                <w:sz w:val="22"/>
                <w:szCs w:val="22"/>
              </w:rPr>
            </w:pPr>
          </w:p>
        </w:tc>
        <w:tc>
          <w:tcPr>
            <w:tcW w:w="1367" w:type="dxa"/>
            <w:gridSpan w:val="2"/>
          </w:tcPr>
          <w:p w14:paraId="1FA3021B" w14:textId="77777777" w:rsidR="002F2AEC" w:rsidRPr="009458F0" w:rsidRDefault="002F2AEC" w:rsidP="00D76073">
            <w:pPr>
              <w:pStyle w:val="Prrafodelista"/>
              <w:ind w:left="0"/>
              <w:rPr>
                <w:rFonts w:eastAsia="Arial Unicode MS"/>
                <w:color w:val="000000"/>
                <w:sz w:val="22"/>
                <w:szCs w:val="22"/>
              </w:rPr>
            </w:pPr>
          </w:p>
        </w:tc>
        <w:tc>
          <w:tcPr>
            <w:tcW w:w="1367" w:type="dxa"/>
          </w:tcPr>
          <w:p w14:paraId="4B947AEF" w14:textId="77777777" w:rsidR="002F2AEC" w:rsidRPr="009458F0" w:rsidRDefault="002F2AEC" w:rsidP="00D76073">
            <w:pPr>
              <w:pStyle w:val="Prrafodelista"/>
              <w:ind w:left="0"/>
              <w:rPr>
                <w:rFonts w:eastAsia="Arial Unicode MS"/>
                <w:color w:val="000000"/>
                <w:sz w:val="22"/>
                <w:szCs w:val="22"/>
              </w:rPr>
            </w:pPr>
            <w:r w:rsidRPr="009458F0">
              <w:rPr>
                <w:rFonts w:eastAsia="Arial Unicode MS"/>
                <w:sz w:val="22"/>
                <w:szCs w:val="22"/>
              </w:rPr>
              <w:t>[_]</w:t>
            </w:r>
            <w:r w:rsidRPr="009458F0">
              <w:rPr>
                <w:rFonts w:eastAsia="Arial Unicode MS"/>
                <w:color w:val="000000"/>
                <w:sz w:val="22"/>
                <w:szCs w:val="22"/>
              </w:rPr>
              <w:t>%</w:t>
            </w:r>
          </w:p>
        </w:tc>
      </w:tr>
      <w:tr w:rsidR="002F2AEC" w:rsidRPr="009458F0" w14:paraId="7A8E867C" w14:textId="77777777" w:rsidTr="00D76073">
        <w:tc>
          <w:tcPr>
            <w:tcW w:w="8301" w:type="dxa"/>
            <w:gridSpan w:val="9"/>
            <w:shd w:val="clear" w:color="auto" w:fill="D9D9D9" w:themeFill="background1" w:themeFillShade="D9"/>
          </w:tcPr>
          <w:p w14:paraId="2F76C5C9" w14:textId="77777777" w:rsidR="002F2AEC" w:rsidRPr="009458F0" w:rsidRDefault="002F2AEC" w:rsidP="00D76073">
            <w:pPr>
              <w:pStyle w:val="Prrafodelista"/>
              <w:ind w:left="0"/>
              <w:rPr>
                <w:rFonts w:eastAsia="Arial Unicode MS"/>
                <w:b/>
                <w:bCs/>
                <w:sz w:val="22"/>
                <w:szCs w:val="22"/>
              </w:rPr>
            </w:pPr>
            <w:r w:rsidRPr="009458F0">
              <w:rPr>
                <w:rFonts w:eastAsia="Arial Unicode MS"/>
                <w:b/>
                <w:bCs/>
                <w:sz w:val="22"/>
                <w:szCs w:val="22"/>
              </w:rPr>
              <w:t>Tramo No Competitivo</w:t>
            </w:r>
          </w:p>
        </w:tc>
      </w:tr>
      <w:tr w:rsidR="002F2AEC" w:rsidRPr="009458F0" w14:paraId="5969B32A" w14:textId="77777777" w:rsidTr="00D76073">
        <w:tc>
          <w:tcPr>
            <w:tcW w:w="2075" w:type="dxa"/>
            <w:gridSpan w:val="2"/>
          </w:tcPr>
          <w:p w14:paraId="48CA346A" w14:textId="77777777" w:rsidR="002F2AEC" w:rsidRPr="009458F0" w:rsidRDefault="002F2AEC" w:rsidP="00D76073">
            <w:pPr>
              <w:pStyle w:val="Prrafodelista"/>
              <w:ind w:left="0"/>
              <w:rPr>
                <w:rFonts w:eastAsia="Arial Unicode MS"/>
                <w:sz w:val="22"/>
                <w:szCs w:val="22"/>
              </w:rPr>
            </w:pPr>
            <w:r>
              <w:rPr>
                <w:rFonts w:eastAsia="Arial Unicode MS"/>
                <w:b/>
                <w:color w:val="000000"/>
                <w:sz w:val="22"/>
                <w:szCs w:val="22"/>
              </w:rPr>
              <w:t>Monto</w:t>
            </w:r>
            <w:r w:rsidRPr="009458F0">
              <w:rPr>
                <w:rFonts w:eastAsia="Arial Unicode MS"/>
                <w:b/>
                <w:color w:val="000000"/>
                <w:sz w:val="22"/>
                <w:szCs w:val="22"/>
              </w:rPr>
              <w:t xml:space="preserve"> </w:t>
            </w:r>
            <w:proofErr w:type="gramStart"/>
            <w:r w:rsidRPr="009458F0">
              <w:rPr>
                <w:rFonts w:eastAsia="Arial Unicode MS"/>
                <w:b/>
                <w:color w:val="000000"/>
                <w:sz w:val="22"/>
                <w:szCs w:val="22"/>
              </w:rPr>
              <w:t>Solicitado</w:t>
            </w:r>
            <w:r w:rsidRPr="009458F0">
              <w:rPr>
                <w:rFonts w:eastAsia="Arial Unicode MS"/>
                <w:b/>
                <w:color w:val="000000"/>
                <w:sz w:val="22"/>
                <w:szCs w:val="22"/>
                <w:vertAlign w:val="superscript"/>
              </w:rPr>
              <w:t>(</w:t>
            </w:r>
            <w:proofErr w:type="gramEnd"/>
            <w:r w:rsidRPr="009458F0">
              <w:rPr>
                <w:rFonts w:eastAsia="Arial Unicode MS"/>
                <w:b/>
                <w:color w:val="000000"/>
                <w:sz w:val="22"/>
                <w:szCs w:val="22"/>
                <w:vertAlign w:val="superscript"/>
              </w:rPr>
              <w:t>1)</w:t>
            </w:r>
          </w:p>
        </w:tc>
        <w:tc>
          <w:tcPr>
            <w:tcW w:w="2075" w:type="dxa"/>
            <w:gridSpan w:val="3"/>
          </w:tcPr>
          <w:p w14:paraId="1049999B" w14:textId="77777777" w:rsidR="002F2AEC" w:rsidRPr="009458F0" w:rsidRDefault="002F2AEC" w:rsidP="00D76073">
            <w:pPr>
              <w:pStyle w:val="Prrafodelista"/>
              <w:ind w:left="0"/>
              <w:rPr>
                <w:rFonts w:eastAsia="Arial Unicode MS"/>
                <w:sz w:val="22"/>
                <w:szCs w:val="22"/>
              </w:rPr>
            </w:pPr>
            <w:r w:rsidRPr="009458F0">
              <w:rPr>
                <w:rFonts w:eastAsia="Arial Unicode MS"/>
                <w:b/>
                <w:color w:val="000000"/>
                <w:sz w:val="22"/>
                <w:szCs w:val="22"/>
              </w:rPr>
              <w:t>Cuenta Comitente</w:t>
            </w:r>
          </w:p>
        </w:tc>
        <w:tc>
          <w:tcPr>
            <w:tcW w:w="2075" w:type="dxa"/>
            <w:gridSpan w:val="2"/>
          </w:tcPr>
          <w:p w14:paraId="729693A4" w14:textId="77777777" w:rsidR="002F2AEC" w:rsidRPr="009458F0" w:rsidRDefault="002F2AEC" w:rsidP="00D76073">
            <w:pPr>
              <w:pStyle w:val="Prrafodelista"/>
              <w:ind w:left="0"/>
              <w:rPr>
                <w:rFonts w:eastAsia="Arial Unicode MS"/>
                <w:sz w:val="22"/>
                <w:szCs w:val="22"/>
              </w:rPr>
            </w:pPr>
            <w:proofErr w:type="spellStart"/>
            <w:r w:rsidRPr="009458F0">
              <w:rPr>
                <w:rFonts w:eastAsia="Arial Unicode MS"/>
                <w:b/>
                <w:color w:val="000000"/>
                <w:sz w:val="22"/>
                <w:szCs w:val="22"/>
              </w:rPr>
              <w:t>N°</w:t>
            </w:r>
            <w:proofErr w:type="spellEnd"/>
            <w:r w:rsidRPr="009458F0">
              <w:rPr>
                <w:rFonts w:eastAsia="Arial Unicode MS"/>
                <w:b/>
                <w:color w:val="000000"/>
                <w:sz w:val="22"/>
                <w:szCs w:val="22"/>
              </w:rPr>
              <w:t xml:space="preserve"> Depositante</w:t>
            </w:r>
          </w:p>
        </w:tc>
        <w:tc>
          <w:tcPr>
            <w:tcW w:w="2076" w:type="dxa"/>
            <w:gridSpan w:val="2"/>
          </w:tcPr>
          <w:p w14:paraId="15AAED99" w14:textId="77777777" w:rsidR="002F2AEC" w:rsidRPr="009458F0" w:rsidRDefault="002F2AEC" w:rsidP="00D76073">
            <w:pPr>
              <w:pStyle w:val="Prrafodelista"/>
              <w:ind w:left="0"/>
              <w:rPr>
                <w:rFonts w:eastAsia="Arial Unicode MS"/>
                <w:sz w:val="22"/>
                <w:szCs w:val="22"/>
              </w:rPr>
            </w:pPr>
            <w:r w:rsidRPr="009458F0">
              <w:rPr>
                <w:rFonts w:eastAsia="Arial Unicode MS"/>
                <w:b/>
                <w:color w:val="000000"/>
                <w:sz w:val="22"/>
                <w:szCs w:val="22"/>
              </w:rPr>
              <w:t>Nombre del Depositante</w:t>
            </w:r>
          </w:p>
        </w:tc>
      </w:tr>
      <w:tr w:rsidR="002F2AEC" w:rsidRPr="009458F0" w14:paraId="09522D81" w14:textId="77777777" w:rsidTr="00D76073">
        <w:tc>
          <w:tcPr>
            <w:tcW w:w="2075" w:type="dxa"/>
            <w:gridSpan w:val="2"/>
          </w:tcPr>
          <w:p w14:paraId="470B2F05" w14:textId="77777777" w:rsidR="002F2AEC" w:rsidRPr="009458F0" w:rsidRDefault="002F2AEC" w:rsidP="00D76073">
            <w:pPr>
              <w:pStyle w:val="Prrafodelista"/>
              <w:ind w:left="0"/>
              <w:rPr>
                <w:rFonts w:eastAsia="Arial Unicode MS"/>
                <w:sz w:val="22"/>
                <w:szCs w:val="22"/>
              </w:rPr>
            </w:pPr>
            <w:r>
              <w:rPr>
                <w:rFonts w:eastAsia="Arial Unicode MS"/>
                <w:color w:val="000000"/>
                <w:sz w:val="22"/>
                <w:szCs w:val="22"/>
              </w:rPr>
              <w:t>US$</w:t>
            </w:r>
            <w:r w:rsidRPr="009458F0">
              <w:rPr>
                <w:rFonts w:eastAsia="Arial Unicode MS"/>
                <w:sz w:val="22"/>
                <w:szCs w:val="22"/>
              </w:rPr>
              <w:t>[_]</w:t>
            </w:r>
          </w:p>
        </w:tc>
        <w:tc>
          <w:tcPr>
            <w:tcW w:w="2075" w:type="dxa"/>
            <w:gridSpan w:val="3"/>
          </w:tcPr>
          <w:p w14:paraId="1317A7B7" w14:textId="77777777" w:rsidR="002F2AEC" w:rsidRPr="009458F0" w:rsidRDefault="002F2AEC" w:rsidP="00D76073">
            <w:pPr>
              <w:pStyle w:val="Prrafodelista"/>
              <w:ind w:left="0"/>
              <w:rPr>
                <w:rFonts w:eastAsia="Arial Unicode MS"/>
                <w:sz w:val="22"/>
                <w:szCs w:val="22"/>
              </w:rPr>
            </w:pPr>
          </w:p>
        </w:tc>
        <w:tc>
          <w:tcPr>
            <w:tcW w:w="2075" w:type="dxa"/>
            <w:gridSpan w:val="2"/>
          </w:tcPr>
          <w:p w14:paraId="0D89C33E" w14:textId="77777777" w:rsidR="002F2AEC" w:rsidRPr="009458F0" w:rsidRDefault="002F2AEC" w:rsidP="00D76073">
            <w:pPr>
              <w:pStyle w:val="Prrafodelista"/>
              <w:ind w:left="0"/>
              <w:rPr>
                <w:rFonts w:eastAsia="Arial Unicode MS"/>
                <w:sz w:val="22"/>
                <w:szCs w:val="22"/>
              </w:rPr>
            </w:pPr>
          </w:p>
        </w:tc>
        <w:tc>
          <w:tcPr>
            <w:tcW w:w="2076" w:type="dxa"/>
            <w:gridSpan w:val="2"/>
          </w:tcPr>
          <w:p w14:paraId="7913D7FE" w14:textId="77777777" w:rsidR="002F2AEC" w:rsidRPr="009458F0" w:rsidRDefault="002F2AEC" w:rsidP="00D76073">
            <w:pPr>
              <w:pStyle w:val="Prrafodelista"/>
              <w:ind w:left="0"/>
              <w:rPr>
                <w:rFonts w:eastAsia="Arial Unicode MS"/>
                <w:sz w:val="22"/>
                <w:szCs w:val="22"/>
              </w:rPr>
            </w:pPr>
          </w:p>
        </w:tc>
      </w:tr>
    </w:tbl>
    <w:p w14:paraId="30A855A7" w14:textId="77777777" w:rsidR="002F2AEC" w:rsidRPr="00097457" w:rsidRDefault="002F2AEC" w:rsidP="002F2AEC">
      <w:pPr>
        <w:widowControl w:val="0"/>
        <w:ind w:right="-17"/>
        <w:jc w:val="both"/>
        <w:rPr>
          <w:lang w:val="es-AR"/>
        </w:rPr>
      </w:pPr>
      <w:r w:rsidRPr="00097457">
        <w:rPr>
          <w:lang w:val="es-AR"/>
        </w:rPr>
        <w:t xml:space="preserve">(1) </w:t>
      </w:r>
      <w:r w:rsidRPr="00802228">
        <w:rPr>
          <w:lang w:val="es-AR"/>
        </w:rPr>
        <w:t>Mínimo de $</w:t>
      </w:r>
      <w:r>
        <w:rPr>
          <w:lang w:val="es-AR"/>
        </w:rPr>
        <w:t>50</w:t>
      </w:r>
      <w:r w:rsidRPr="00802228">
        <w:rPr>
          <w:lang w:val="es-AR"/>
        </w:rPr>
        <w:t>0.000 y múltiplos de $1 por encima de dicho monto.</w:t>
      </w:r>
    </w:p>
    <w:p w14:paraId="44EAAC74" w14:textId="77777777" w:rsidR="002F2AEC" w:rsidRDefault="002F2AEC" w:rsidP="002F2AEC">
      <w:pPr>
        <w:widowControl w:val="0"/>
        <w:ind w:right="-17"/>
        <w:jc w:val="both"/>
        <w:rPr>
          <w:lang w:val="es-AR"/>
        </w:rPr>
      </w:pPr>
      <w:r w:rsidRPr="00097457">
        <w:rPr>
          <w:lang w:val="es-AR"/>
        </w:rPr>
        <w:t>(2)</w:t>
      </w:r>
      <w:r>
        <w:rPr>
          <w:lang w:val="es-AR"/>
        </w:rPr>
        <w:t xml:space="preserve"> </w:t>
      </w:r>
      <w:r w:rsidRPr="00097457">
        <w:rPr>
          <w:lang w:val="es-AR"/>
        </w:rPr>
        <w:t>Indicar el Margen Solicitado</w:t>
      </w:r>
      <w:r>
        <w:rPr>
          <w:lang w:val="es-AR"/>
        </w:rPr>
        <w:t xml:space="preserve"> Clase 3</w:t>
      </w:r>
      <w:r w:rsidRPr="00097457">
        <w:rPr>
          <w:lang w:val="es-AR"/>
        </w:rPr>
        <w:t>, en todos los casos expresada como porcentaje nominal anual sobre una base de 365 días y truncado a dos decimales.</w:t>
      </w:r>
    </w:p>
    <w:p w14:paraId="79E6AE3C" w14:textId="77777777" w:rsidR="002F2AEC" w:rsidRPr="00097457" w:rsidRDefault="002F2AEC" w:rsidP="002F2AEC">
      <w:pPr>
        <w:widowControl w:val="0"/>
        <w:ind w:right="-17"/>
        <w:jc w:val="both"/>
        <w:rPr>
          <w:lang w:val="es-AR"/>
        </w:rPr>
      </w:pPr>
      <w:r>
        <w:rPr>
          <w:lang w:val="es-AR"/>
        </w:rPr>
        <w:t xml:space="preserve">(3) </w:t>
      </w:r>
      <w:r w:rsidRPr="002F73C8">
        <w:rPr>
          <w:lang w:val="es-AR"/>
        </w:rPr>
        <w:t>En caso de que así lo desee, podrán limitar su adjudicación final en un porcentaje máximo del valor nominal total</w:t>
      </w:r>
      <w:r>
        <w:rPr>
          <w:lang w:val="es-AR"/>
        </w:rPr>
        <w:t xml:space="preserve"> </w:t>
      </w:r>
      <w:r w:rsidRPr="002F73C8">
        <w:rPr>
          <w:lang w:val="es-AR"/>
        </w:rPr>
        <w:t xml:space="preserve">a emitir de las Obligaciones Negociables Clase </w:t>
      </w:r>
      <w:r>
        <w:rPr>
          <w:lang w:val="es-AR"/>
        </w:rPr>
        <w:t>3.</w:t>
      </w:r>
    </w:p>
    <w:p w14:paraId="21B73AAC" w14:textId="77777777" w:rsidR="002F2AEC" w:rsidRPr="00097457" w:rsidRDefault="002F2AEC" w:rsidP="002F2AEC">
      <w:pPr>
        <w:widowControl w:val="0"/>
        <w:ind w:right="-17"/>
        <w:jc w:val="both"/>
        <w:rPr>
          <w:lang w:val="es-AR"/>
        </w:rPr>
      </w:pPr>
    </w:p>
    <w:p w14:paraId="0D528A2A" w14:textId="77777777" w:rsidR="002F2AEC" w:rsidRPr="00097457" w:rsidRDefault="002F2AEC" w:rsidP="002F2AEC">
      <w:pPr>
        <w:jc w:val="both"/>
        <w:rPr>
          <w:lang w:val="es-AR"/>
        </w:rPr>
      </w:pPr>
      <w:r w:rsidRPr="00097457">
        <w:rPr>
          <w:smallCaps/>
          <w:lang w:val="es-AR"/>
        </w:rPr>
        <w:t>LIQUIDACIÓN</w:t>
      </w:r>
      <w:r w:rsidRPr="00097457">
        <w:rPr>
          <w:lang w:val="es-AR"/>
        </w:rPr>
        <w:t xml:space="preserve">. La liquidación de las Obligaciones Negociables se realizará a través de </w:t>
      </w:r>
      <w:r>
        <w:rPr>
          <w:lang w:val="es-AR"/>
        </w:rPr>
        <w:t xml:space="preserve">CLEAR. En </w:t>
      </w:r>
      <w:r w:rsidRPr="00097457">
        <w:rPr>
          <w:lang w:val="es-AR"/>
        </w:rPr>
        <w:t xml:space="preserve">caso de ser adjudicado, el </w:t>
      </w:r>
      <w:r>
        <w:rPr>
          <w:lang w:val="es-AR"/>
        </w:rPr>
        <w:t>i</w:t>
      </w:r>
      <w:r w:rsidRPr="00097457">
        <w:rPr>
          <w:lang w:val="es-AR"/>
        </w:rPr>
        <w:t>nversor solicita que las Obligaciones Negociables sean liquidadas como se indica a continuación (</w:t>
      </w:r>
      <w:r w:rsidRPr="00097457">
        <w:rPr>
          <w:b/>
          <w:lang w:val="es-AR"/>
        </w:rPr>
        <w:t>elegir en el caso A. una de las opciones marcando con una X</w:t>
      </w:r>
      <w:r w:rsidRPr="00097457">
        <w:rPr>
          <w:lang w:val="es-AR"/>
        </w:rPr>
        <w:t>):</w:t>
      </w:r>
    </w:p>
    <w:p w14:paraId="328B3125" w14:textId="77777777" w:rsidR="002F2AEC" w:rsidRPr="00097457" w:rsidRDefault="002F2AEC" w:rsidP="002F2AEC">
      <w:pPr>
        <w:jc w:val="both"/>
        <w:rPr>
          <w:lang w:val="es-AR"/>
        </w:rPr>
      </w:pPr>
    </w:p>
    <w:p w14:paraId="20E921A6" w14:textId="77777777" w:rsidR="002F2AEC" w:rsidRPr="00097457" w:rsidRDefault="002F2AEC" w:rsidP="002F2AEC">
      <w:pPr>
        <w:numPr>
          <w:ilvl w:val="0"/>
          <w:numId w:val="2"/>
        </w:numPr>
        <w:jc w:val="both"/>
        <w:rPr>
          <w:lang w:val="es-AR"/>
        </w:rPr>
      </w:pPr>
      <w:r w:rsidRPr="00097457">
        <w:rPr>
          <w:lang w:val="es-AR"/>
        </w:rPr>
        <w:t>Integración</w:t>
      </w:r>
    </w:p>
    <w:p w14:paraId="21B45BAE" w14:textId="387C57B3" w:rsidR="002F2AEC" w:rsidRPr="00097457" w:rsidRDefault="002F2AEC" w:rsidP="00452AE1">
      <w:pPr>
        <w:jc w:val="both"/>
        <w:rPr>
          <w:rFonts w:eastAsia="Calibri"/>
          <w:b/>
          <w:bCs/>
          <w:lang w:eastAsia="es-AR"/>
        </w:rPr>
      </w:pPr>
    </w:p>
    <w:p w14:paraId="13E6C59A" w14:textId="77777777" w:rsidR="00452AE1" w:rsidRPr="00B07DB6" w:rsidRDefault="00452AE1" w:rsidP="00452AE1">
      <w:pPr>
        <w:jc w:val="both"/>
        <w:rPr>
          <w:rFonts w:eastAsia="Arial Unicode MS"/>
          <w:sz w:val="20"/>
        </w:rPr>
      </w:pPr>
    </w:p>
    <w:p w14:paraId="17377340" w14:textId="79FA2F9B" w:rsidR="00452AE1" w:rsidRPr="00B07DB6" w:rsidRDefault="00452AE1" w:rsidP="00452AE1">
      <w:pPr>
        <w:widowControl w:val="0"/>
        <w:ind w:right="-14"/>
        <w:jc w:val="both"/>
        <w:rPr>
          <w:rFonts w:eastAsia="Arial Unicode MS"/>
          <w:sz w:val="20"/>
        </w:rPr>
      </w:pPr>
      <w:r w:rsidRPr="00B07DB6">
        <w:rPr>
          <w:rFonts w:eastAsia="Arial Unicode MS"/>
          <w:sz w:val="20"/>
        </w:rPr>
        <w:t>(___) (i) Liquidación por CLEAR:</w:t>
      </w:r>
    </w:p>
    <w:p w14:paraId="454D0A9C" w14:textId="77777777" w:rsidR="00452AE1" w:rsidRPr="00B07DB6" w:rsidRDefault="00452AE1" w:rsidP="00452AE1">
      <w:pPr>
        <w:widowControl w:val="0"/>
        <w:ind w:right="-14"/>
        <w:jc w:val="both"/>
        <w:rPr>
          <w:rFonts w:eastAsia="Arial Unicode MS"/>
          <w:sz w:val="20"/>
        </w:rPr>
      </w:pPr>
    </w:p>
    <w:p w14:paraId="379CCA87" w14:textId="77777777" w:rsidR="00452AE1" w:rsidRPr="00B07DB6" w:rsidRDefault="00452AE1" w:rsidP="00452AE1">
      <w:pPr>
        <w:widowControl w:val="0"/>
        <w:ind w:right="-14"/>
        <w:jc w:val="both"/>
        <w:rPr>
          <w:rFonts w:eastAsia="Arial Unicode MS"/>
          <w:sz w:val="20"/>
        </w:rPr>
      </w:pPr>
      <w:r w:rsidRPr="00B07DB6">
        <w:rPr>
          <w:rFonts w:eastAsia="Arial Unicode MS"/>
          <w:sz w:val="20"/>
        </w:rPr>
        <w:t xml:space="preserve">El Oferente autoriza a _________ </w:t>
      </w:r>
      <w:proofErr w:type="spellStart"/>
      <w:r w:rsidRPr="00B07DB6">
        <w:rPr>
          <w:rFonts w:eastAsia="Arial Unicode MS"/>
          <w:sz w:val="20"/>
        </w:rPr>
        <w:t>a</w:t>
      </w:r>
      <w:proofErr w:type="spellEnd"/>
      <w:r w:rsidRPr="00B07DB6">
        <w:rPr>
          <w:rFonts w:eastAsia="Arial Unicode MS"/>
          <w:sz w:val="20"/>
        </w:rPr>
        <w:t xml:space="preserve"> realizar la integración y acreditación de las Obligaciones Negociables adjudicadas a través de _________ (indicar razón social), en su carácter de banco custodio del Oferente, a través de CLEAR y </w:t>
      </w:r>
      <w:proofErr w:type="gramStart"/>
      <w:r w:rsidRPr="00B07DB6">
        <w:rPr>
          <w:rFonts w:eastAsia="Arial Unicode MS"/>
          <w:sz w:val="20"/>
        </w:rPr>
        <w:t>de acuerdo a</w:t>
      </w:r>
      <w:proofErr w:type="gramEnd"/>
      <w:r w:rsidRPr="00B07DB6">
        <w:rPr>
          <w:rFonts w:eastAsia="Arial Unicode MS"/>
          <w:sz w:val="20"/>
        </w:rPr>
        <w:t xml:space="preserve"> sus procedimientos aplicables; y/o</w:t>
      </w:r>
    </w:p>
    <w:p w14:paraId="15127E4E" w14:textId="77777777" w:rsidR="00452AE1" w:rsidRPr="00B07DB6" w:rsidRDefault="00452AE1" w:rsidP="00452AE1">
      <w:pPr>
        <w:widowControl w:val="0"/>
        <w:ind w:right="-14"/>
        <w:jc w:val="both"/>
        <w:rPr>
          <w:rFonts w:eastAsia="Arial Unicode MS"/>
          <w:sz w:val="20"/>
        </w:rPr>
      </w:pPr>
    </w:p>
    <w:p w14:paraId="018420F9" w14:textId="0C4485B8" w:rsidR="00452AE1" w:rsidRPr="00B07DB6" w:rsidRDefault="00452AE1" w:rsidP="00452AE1">
      <w:pPr>
        <w:widowControl w:val="0"/>
        <w:ind w:right="-14"/>
        <w:jc w:val="both"/>
        <w:rPr>
          <w:rFonts w:eastAsia="Arial Unicode MS"/>
          <w:sz w:val="20"/>
        </w:rPr>
      </w:pPr>
      <w:r w:rsidRPr="00B07DB6">
        <w:rPr>
          <w:rFonts w:eastAsia="Arial Unicode MS"/>
          <w:sz w:val="20"/>
        </w:rPr>
        <w:t>(___) (</w:t>
      </w:r>
      <w:proofErr w:type="spellStart"/>
      <w:r w:rsidRPr="00B07DB6">
        <w:rPr>
          <w:rFonts w:eastAsia="Arial Unicode MS"/>
          <w:sz w:val="20"/>
        </w:rPr>
        <w:t>ii</w:t>
      </w:r>
      <w:proofErr w:type="spellEnd"/>
      <w:r w:rsidRPr="00B07DB6">
        <w:rPr>
          <w:rFonts w:eastAsia="Arial Unicode MS"/>
          <w:sz w:val="20"/>
        </w:rPr>
        <w:t>) Liquidación a través de los Agentes Colocadores (marcar con una X, según corresponda):</w:t>
      </w:r>
    </w:p>
    <w:p w14:paraId="44F1B17F" w14:textId="77777777" w:rsidR="00452AE1" w:rsidRPr="00B07DB6" w:rsidRDefault="00452AE1" w:rsidP="00452AE1">
      <w:pPr>
        <w:widowControl w:val="0"/>
        <w:ind w:right="-14"/>
        <w:jc w:val="both"/>
        <w:rPr>
          <w:rFonts w:eastAsia="Arial Unicode MS"/>
          <w:sz w:val="20"/>
        </w:rPr>
      </w:pPr>
    </w:p>
    <w:p w14:paraId="07332218" w14:textId="77777777" w:rsidR="00452AE1" w:rsidRPr="00B07DB6" w:rsidRDefault="00452AE1" w:rsidP="00452AE1">
      <w:pPr>
        <w:widowControl w:val="0"/>
        <w:ind w:right="-14" w:firstLine="708"/>
        <w:jc w:val="both"/>
        <w:rPr>
          <w:rFonts w:eastAsia="Arial Unicode MS"/>
          <w:sz w:val="20"/>
        </w:rPr>
      </w:pPr>
      <w:r w:rsidRPr="00B07DB6">
        <w:rPr>
          <w:rFonts w:eastAsia="Arial Unicode MS"/>
          <w:sz w:val="20"/>
        </w:rPr>
        <w:t xml:space="preserve">(___) Siendo titular de la cuenta monetaria en </w:t>
      </w:r>
      <w:r>
        <w:rPr>
          <w:rFonts w:eastAsia="Arial Unicode MS"/>
          <w:sz w:val="20"/>
        </w:rPr>
        <w:t>Pesos</w:t>
      </w:r>
      <w:r w:rsidRPr="00B07DB6">
        <w:rPr>
          <w:rFonts w:eastAsia="Arial Unicode MS"/>
          <w:sz w:val="20"/>
        </w:rPr>
        <w:t xml:space="preserve"> </w:t>
      </w:r>
      <w:proofErr w:type="spellStart"/>
      <w:r w:rsidRPr="00B07DB6">
        <w:rPr>
          <w:rFonts w:eastAsia="Arial Unicode MS"/>
          <w:sz w:val="20"/>
        </w:rPr>
        <w:t>N°</w:t>
      </w:r>
      <w:proofErr w:type="spellEnd"/>
      <w:r w:rsidRPr="00B07DB6">
        <w:rPr>
          <w:rFonts w:eastAsia="Arial Unicode MS"/>
          <w:sz w:val="20"/>
        </w:rPr>
        <w:t xml:space="preserve"> _________ (la “</w:t>
      </w:r>
      <w:r w:rsidRPr="00B07DB6">
        <w:rPr>
          <w:rFonts w:eastAsia="Arial Unicode MS"/>
          <w:sz w:val="20"/>
          <w:u w:val="single"/>
        </w:rPr>
        <w:t xml:space="preserve">Cuenta Monetaria en </w:t>
      </w:r>
      <w:r>
        <w:rPr>
          <w:rFonts w:eastAsia="Arial Unicode MS"/>
          <w:sz w:val="20"/>
          <w:u w:val="single"/>
        </w:rPr>
        <w:t>Pesos</w:t>
      </w:r>
      <w:r w:rsidRPr="00B07DB6">
        <w:rPr>
          <w:rFonts w:eastAsia="Arial Unicode MS"/>
          <w:sz w:val="20"/>
        </w:rPr>
        <w:t xml:space="preserve">”) abierta en el Agente Colocador, el Oferente: (i) autoriza en forma irrevocable al Agente Colocador a debitar de la Cuenta Monetaria en </w:t>
      </w:r>
      <w:r>
        <w:rPr>
          <w:rFonts w:eastAsia="Arial Unicode MS"/>
          <w:sz w:val="20"/>
        </w:rPr>
        <w:t>Pesos</w:t>
      </w:r>
      <w:r w:rsidRPr="00B07DB6">
        <w:rPr>
          <w:rFonts w:eastAsia="Arial Unicode MS"/>
          <w:sz w:val="20"/>
        </w:rPr>
        <w:t xml:space="preserve"> en la Fecha de Emisión y Liquidación, el importe en </w:t>
      </w:r>
      <w:r>
        <w:rPr>
          <w:rFonts w:eastAsia="Arial Unicode MS"/>
          <w:sz w:val="20"/>
        </w:rPr>
        <w:t>Pesos</w:t>
      </w:r>
      <w:r w:rsidRPr="00B07DB6">
        <w:rPr>
          <w:rFonts w:eastAsia="Arial Unicode MS"/>
          <w:sz w:val="20"/>
        </w:rPr>
        <w:t xml:space="preserve"> suficiente para cubrir el Monto a Integrar de las Obligaciones Negociables adjudicadas.</w:t>
      </w:r>
    </w:p>
    <w:p w14:paraId="4FAFA033" w14:textId="77777777" w:rsidR="00452AE1" w:rsidRPr="00B07DB6" w:rsidRDefault="00452AE1" w:rsidP="00452AE1">
      <w:pPr>
        <w:widowControl w:val="0"/>
        <w:ind w:right="-14"/>
        <w:jc w:val="both"/>
        <w:rPr>
          <w:rFonts w:eastAsia="Arial Unicode MS"/>
          <w:sz w:val="20"/>
        </w:rPr>
      </w:pPr>
    </w:p>
    <w:p w14:paraId="1FA1A82F" w14:textId="77777777" w:rsidR="00452AE1" w:rsidRPr="00B07DB6" w:rsidRDefault="00452AE1" w:rsidP="00452AE1">
      <w:pPr>
        <w:widowControl w:val="0"/>
        <w:ind w:right="-14" w:firstLine="708"/>
        <w:jc w:val="both"/>
        <w:rPr>
          <w:rFonts w:eastAsia="Arial Unicode MS"/>
          <w:sz w:val="20"/>
        </w:rPr>
      </w:pPr>
      <w:r w:rsidRPr="00B07DB6">
        <w:rPr>
          <w:rFonts w:eastAsia="Arial Unicode MS"/>
          <w:sz w:val="20"/>
        </w:rPr>
        <w:t xml:space="preserve">(___) El Oferente acreditará en la cuenta en </w:t>
      </w:r>
      <w:r>
        <w:rPr>
          <w:rFonts w:eastAsia="Arial Unicode MS"/>
          <w:sz w:val="20"/>
        </w:rPr>
        <w:t>Pesos</w:t>
      </w:r>
      <w:r w:rsidRPr="00B07DB6">
        <w:rPr>
          <w:rFonts w:eastAsia="Arial Unicode MS"/>
          <w:sz w:val="20"/>
        </w:rPr>
        <w:t xml:space="preserve"> </w:t>
      </w:r>
      <w:proofErr w:type="spellStart"/>
      <w:r w:rsidRPr="00B07DB6">
        <w:rPr>
          <w:rFonts w:eastAsia="Arial Unicode MS"/>
          <w:sz w:val="20"/>
        </w:rPr>
        <w:t>N°</w:t>
      </w:r>
      <w:proofErr w:type="spellEnd"/>
      <w:r w:rsidRPr="00B07DB6">
        <w:rPr>
          <w:rFonts w:eastAsia="Arial Unicode MS"/>
          <w:sz w:val="20"/>
        </w:rPr>
        <w:t xml:space="preserve"> </w:t>
      </w:r>
      <w:r>
        <w:rPr>
          <w:rFonts w:eastAsia="Arial Unicode MS"/>
          <w:sz w:val="20"/>
        </w:rPr>
        <w:t>338</w:t>
      </w:r>
      <w:r w:rsidRPr="00B07DB6">
        <w:rPr>
          <w:rFonts w:eastAsia="Arial Unicode MS"/>
          <w:sz w:val="20"/>
        </w:rPr>
        <w:t xml:space="preserve"> del Agente </w:t>
      </w:r>
      <w:proofErr w:type="gramStart"/>
      <w:r w:rsidRPr="00B07DB6">
        <w:rPr>
          <w:rFonts w:eastAsia="Arial Unicode MS"/>
          <w:sz w:val="20"/>
        </w:rPr>
        <w:t>Colocador abierta</w:t>
      </w:r>
      <w:proofErr w:type="gramEnd"/>
      <w:r w:rsidRPr="00B07DB6">
        <w:rPr>
          <w:rFonts w:eastAsia="Arial Unicode MS"/>
          <w:sz w:val="20"/>
        </w:rPr>
        <w:t xml:space="preserve"> en </w:t>
      </w:r>
      <w:r w:rsidRPr="001A5B9C">
        <w:rPr>
          <w:rFonts w:eastAsia="Arial Unicode MS"/>
          <w:sz w:val="20"/>
        </w:rPr>
        <w:t>Banco de Servicios y Transacciones S.A.U.</w:t>
      </w:r>
      <w:r w:rsidRPr="00B07DB6">
        <w:rPr>
          <w:rFonts w:eastAsia="Arial Unicode MS"/>
          <w:sz w:val="20"/>
        </w:rPr>
        <w:t xml:space="preserve">, a más tardar en la Fecha de Emisión y Liquidación, el importe en </w:t>
      </w:r>
      <w:r>
        <w:rPr>
          <w:rFonts w:eastAsia="Arial Unicode MS"/>
          <w:sz w:val="20"/>
        </w:rPr>
        <w:t>Pesos</w:t>
      </w:r>
      <w:r w:rsidRPr="00B07DB6">
        <w:rPr>
          <w:rFonts w:eastAsia="Arial Unicode MS"/>
          <w:sz w:val="20"/>
        </w:rPr>
        <w:t xml:space="preserve"> correspondiente al Monto a Integrar de las Obligaciones Negociables adjudicadas. La transferencia de los fondos se realizará desde la cuenta en </w:t>
      </w:r>
      <w:r>
        <w:rPr>
          <w:rFonts w:eastAsia="Arial Unicode MS"/>
          <w:sz w:val="20"/>
        </w:rPr>
        <w:t>Pesos</w:t>
      </w:r>
      <w:r w:rsidRPr="00B07DB6">
        <w:rPr>
          <w:rFonts w:eastAsia="Arial Unicode MS"/>
          <w:sz w:val="20"/>
        </w:rPr>
        <w:t xml:space="preserve"> del Banco Central </w:t>
      </w:r>
      <w:proofErr w:type="spellStart"/>
      <w:r w:rsidRPr="00B07DB6">
        <w:rPr>
          <w:rFonts w:eastAsia="Arial Unicode MS"/>
          <w:sz w:val="20"/>
        </w:rPr>
        <w:t>N°</w:t>
      </w:r>
      <w:proofErr w:type="spellEnd"/>
      <w:r w:rsidRPr="00B07DB6">
        <w:rPr>
          <w:rFonts w:eastAsia="Arial Unicode MS"/>
          <w:sz w:val="20"/>
        </w:rPr>
        <w:t xml:space="preserve"> ______.</w:t>
      </w:r>
    </w:p>
    <w:p w14:paraId="17FD9063" w14:textId="77777777" w:rsidR="002F2AEC" w:rsidRPr="00097457" w:rsidRDefault="002F2AEC" w:rsidP="002F2AEC">
      <w:pPr>
        <w:jc w:val="both"/>
        <w:rPr>
          <w:rFonts w:eastAsia="Calibri"/>
          <w:lang w:val="es-AR" w:eastAsia="es-AR"/>
        </w:rPr>
      </w:pPr>
    </w:p>
    <w:p w14:paraId="369DA073" w14:textId="77777777" w:rsidR="002F2AEC" w:rsidRPr="00097457" w:rsidRDefault="002F2AEC" w:rsidP="002F2AEC">
      <w:pPr>
        <w:jc w:val="both"/>
        <w:rPr>
          <w:rFonts w:eastAsia="Calibri"/>
          <w:lang w:eastAsia="es-AR"/>
        </w:rPr>
      </w:pPr>
      <w:r w:rsidRPr="00097457">
        <w:rPr>
          <w:rFonts w:eastAsia="Calibri"/>
          <w:lang w:eastAsia="es-AR"/>
        </w:rPr>
        <w:t xml:space="preserve">En caso que el Oferente no abonare el precio de suscripción mediante la integración en efectivo de acuerdo a cualquiera de los procedimientos descriptos precedentemente en o antes de la Fecha de Emisión, el derecho del Oferente a recibir las Obligaciones Negociables que le hayan sido adjudicadas caducará automáticamente (salvo en aquellos casos en los cuales por cuestiones regulatorias sea necesario transferir las Obligaciones Negociables a los suscriptores con anterioridad al pago del precio). </w:t>
      </w:r>
    </w:p>
    <w:p w14:paraId="582138B0" w14:textId="77777777" w:rsidR="002F2AEC" w:rsidRPr="00097457" w:rsidRDefault="002F2AEC" w:rsidP="002F2AEC">
      <w:pPr>
        <w:jc w:val="both"/>
        <w:rPr>
          <w:rFonts w:eastAsia="Calibri"/>
          <w:lang w:val="es-AR" w:eastAsia="es-AR"/>
        </w:rPr>
      </w:pPr>
    </w:p>
    <w:p w14:paraId="0D889AC5" w14:textId="77777777" w:rsidR="002F2AEC" w:rsidRPr="00097457" w:rsidRDefault="002F2AEC" w:rsidP="002F2AEC">
      <w:pPr>
        <w:widowControl w:val="0"/>
        <w:ind w:right="-14"/>
        <w:jc w:val="both"/>
        <w:rPr>
          <w:rFonts w:eastAsia="Calibri"/>
          <w:lang w:eastAsia="es-AR"/>
        </w:rPr>
      </w:pPr>
      <w:r w:rsidRPr="00097457">
        <w:rPr>
          <w:rFonts w:eastAsia="Calibri"/>
          <w:lang w:eastAsia="es-AR"/>
        </w:rPr>
        <w:t xml:space="preserve">La Emisora y el </w:t>
      </w:r>
      <w:r>
        <w:rPr>
          <w:rFonts w:eastAsia="Calibri"/>
          <w:lang w:eastAsia="es-AR"/>
        </w:rPr>
        <w:t>Agente Colocador</w:t>
      </w:r>
      <w:r w:rsidRPr="00097457">
        <w:rPr>
          <w:rFonts w:eastAsia="Calibri"/>
          <w:lang w:eastAsia="es-AR"/>
        </w:rPr>
        <w:t xml:space="preserve"> no asumen ningún tipo de responsabilidad por la falta de pago del Precio de Suscripción de las Obligaciones Negociables por parte de los Oferentes.</w:t>
      </w:r>
    </w:p>
    <w:p w14:paraId="4CA64172" w14:textId="77777777" w:rsidR="002F2AEC" w:rsidRPr="00097457" w:rsidRDefault="002F2AEC" w:rsidP="002F2AEC">
      <w:pPr>
        <w:widowControl w:val="0"/>
        <w:ind w:right="-14" w:firstLine="720"/>
        <w:jc w:val="both"/>
        <w:rPr>
          <w:lang w:val="es-AR"/>
        </w:rPr>
      </w:pPr>
    </w:p>
    <w:p w14:paraId="21299000" w14:textId="77777777" w:rsidR="002F2AEC" w:rsidRPr="005006EF" w:rsidRDefault="002F2AEC" w:rsidP="002F2AEC">
      <w:pPr>
        <w:widowControl w:val="0"/>
        <w:numPr>
          <w:ilvl w:val="0"/>
          <w:numId w:val="2"/>
        </w:numPr>
        <w:ind w:right="-14"/>
        <w:jc w:val="both"/>
        <w:rPr>
          <w:lang w:val="es-AR"/>
        </w:rPr>
      </w:pPr>
      <w:r w:rsidRPr="005006EF">
        <w:rPr>
          <w:lang w:val="es-AR"/>
        </w:rPr>
        <w:t xml:space="preserve">Acreditación. </w:t>
      </w:r>
    </w:p>
    <w:p w14:paraId="528624D1" w14:textId="77777777" w:rsidR="002F2AEC" w:rsidRPr="00097457" w:rsidRDefault="002F2AEC" w:rsidP="002F2AEC">
      <w:pPr>
        <w:widowControl w:val="0"/>
        <w:ind w:right="-14"/>
        <w:jc w:val="both"/>
        <w:rPr>
          <w:lang w:val="es-AR"/>
        </w:rPr>
      </w:pPr>
    </w:p>
    <w:p w14:paraId="7F3F5770" w14:textId="77777777" w:rsidR="002F2AEC" w:rsidRPr="00097457" w:rsidRDefault="002F2AEC" w:rsidP="002F2AEC">
      <w:pPr>
        <w:widowControl w:val="0"/>
        <w:ind w:right="-14"/>
        <w:jc w:val="both"/>
        <w:rPr>
          <w:lang w:val="es-AR"/>
        </w:rPr>
      </w:pPr>
      <w:r w:rsidRPr="00097457">
        <w:rPr>
          <w:lang w:val="es-AR"/>
        </w:rPr>
        <w:t>En caso de corresponder la adjudicación de las Obligaciones Negociables</w:t>
      </w:r>
      <w:r w:rsidRPr="00097457" w:rsidDel="00FD1643">
        <w:rPr>
          <w:lang w:val="es-AR"/>
        </w:rPr>
        <w:t xml:space="preserve"> </w:t>
      </w:r>
      <w:r w:rsidRPr="00097457">
        <w:rPr>
          <w:lang w:val="es-AR"/>
        </w:rPr>
        <w:t xml:space="preserve">al </w:t>
      </w:r>
      <w:r>
        <w:rPr>
          <w:lang w:val="es-AR"/>
        </w:rPr>
        <w:t>i</w:t>
      </w:r>
      <w:r w:rsidRPr="00097457">
        <w:rPr>
          <w:lang w:val="es-AR"/>
        </w:rPr>
        <w:t xml:space="preserve">nversor conforme el procedimiento indicado en los Documentos Informativos y efectuada la integración de </w:t>
      </w:r>
      <w:proofErr w:type="gramStart"/>
      <w:r w:rsidRPr="00097457">
        <w:rPr>
          <w:lang w:val="es-AR"/>
        </w:rPr>
        <w:t>l</w:t>
      </w:r>
      <w:r>
        <w:rPr>
          <w:lang w:val="es-AR"/>
        </w:rPr>
        <w:t>a</w:t>
      </w:r>
      <w:r w:rsidRPr="00097457">
        <w:rPr>
          <w:lang w:val="es-AR"/>
        </w:rPr>
        <w:t>s mism</w:t>
      </w:r>
      <w:r>
        <w:rPr>
          <w:lang w:val="es-AR"/>
        </w:rPr>
        <w:t>a</w:t>
      </w:r>
      <w:r w:rsidRPr="00097457">
        <w:rPr>
          <w:lang w:val="es-AR"/>
        </w:rPr>
        <w:t>s</w:t>
      </w:r>
      <w:proofErr w:type="gramEnd"/>
      <w:r w:rsidRPr="00097457">
        <w:rPr>
          <w:lang w:val="es-AR"/>
        </w:rPr>
        <w:t>, en la Fecha de Emisión de las Obligaciones Negociables</w:t>
      </w:r>
      <w:r w:rsidRPr="00097457" w:rsidDel="00FD1643">
        <w:rPr>
          <w:lang w:val="es-AR"/>
        </w:rPr>
        <w:t xml:space="preserve"> </w:t>
      </w:r>
      <w:r w:rsidRPr="00097457">
        <w:rPr>
          <w:lang w:val="es-AR"/>
        </w:rPr>
        <w:t>adjudicadas se acreditarán a través de</w:t>
      </w:r>
      <w:r>
        <w:rPr>
          <w:lang w:val="es-AR"/>
        </w:rPr>
        <w:t xml:space="preserve"> </w:t>
      </w:r>
      <w:r w:rsidRPr="00097457">
        <w:rPr>
          <w:lang w:val="es-AR"/>
        </w:rPr>
        <w:t>CLEAR</w:t>
      </w:r>
      <w:r>
        <w:rPr>
          <w:lang w:val="es-AR"/>
        </w:rPr>
        <w:t xml:space="preserve"> </w:t>
      </w:r>
      <w:r w:rsidRPr="00097457">
        <w:rPr>
          <w:lang w:val="es-AR"/>
        </w:rPr>
        <w:t xml:space="preserve">en la cuenta comitente del </w:t>
      </w:r>
      <w:r>
        <w:rPr>
          <w:lang w:val="es-AR"/>
        </w:rPr>
        <w:t>i</w:t>
      </w:r>
      <w:r w:rsidRPr="00097457">
        <w:rPr>
          <w:lang w:val="es-AR"/>
        </w:rPr>
        <w:t xml:space="preserve">nversor en CVSA de acuerdo con los datos suministrados precedentemente. Todo lo arriba </w:t>
      </w:r>
      <w:r w:rsidRPr="00097457">
        <w:rPr>
          <w:lang w:val="es-AR"/>
        </w:rPr>
        <w:lastRenderedPageBreak/>
        <w:t xml:space="preserve">mencionado se denomina </w:t>
      </w:r>
      <w:smartTag w:uri="urn:schemas-microsoft-com:office:smarttags" w:element="PersonName">
        <w:smartTagPr>
          <w:attr w:name="ProductID" w:val="la “Transacción"/>
        </w:smartTagPr>
        <w:r w:rsidRPr="00097457">
          <w:rPr>
            <w:lang w:val="es-AR"/>
          </w:rPr>
          <w:t>la “</w:t>
        </w:r>
        <w:r w:rsidRPr="00097457">
          <w:rPr>
            <w:u w:val="words"/>
            <w:lang w:val="es-AR"/>
          </w:rPr>
          <w:t>Transacción</w:t>
        </w:r>
      </w:smartTag>
      <w:r w:rsidRPr="00097457">
        <w:rPr>
          <w:lang w:val="es-AR"/>
        </w:rPr>
        <w:t xml:space="preserve">”. </w:t>
      </w:r>
    </w:p>
    <w:p w14:paraId="3C0A6B02" w14:textId="77777777" w:rsidR="002F2AEC" w:rsidRPr="00097457" w:rsidRDefault="002F2AEC" w:rsidP="002F2AEC">
      <w:pPr>
        <w:widowControl w:val="0"/>
        <w:tabs>
          <w:tab w:val="left" w:pos="-2244"/>
        </w:tabs>
        <w:ind w:right="-14"/>
        <w:jc w:val="both"/>
        <w:rPr>
          <w:lang w:val="es-AR"/>
        </w:rPr>
      </w:pPr>
      <w:r w:rsidRPr="00097457">
        <w:rPr>
          <w:lang w:val="es-AR"/>
        </w:rPr>
        <w:tab/>
      </w:r>
    </w:p>
    <w:p w14:paraId="76B8075C" w14:textId="77777777" w:rsidR="002F2AEC" w:rsidRPr="00097457" w:rsidRDefault="002F2AEC" w:rsidP="002F2AEC">
      <w:pPr>
        <w:widowControl w:val="0"/>
        <w:tabs>
          <w:tab w:val="left" w:pos="-2244"/>
        </w:tabs>
        <w:ind w:right="-17"/>
        <w:jc w:val="both"/>
        <w:rPr>
          <w:lang w:val="es-AR"/>
        </w:rPr>
      </w:pPr>
      <w:r w:rsidRPr="00097457">
        <w:rPr>
          <w:smallCaps/>
          <w:lang w:val="es-AR"/>
        </w:rPr>
        <w:t>DECLARACIÓN SOBRE ORIGEN Y LICITUD DE FONDOS</w:t>
      </w:r>
      <w:r w:rsidRPr="00097457">
        <w:rPr>
          <w:lang w:val="es-AR"/>
        </w:rPr>
        <w:t xml:space="preserve">. Declaro bajo juramento que los fondos que se utilizarán para la integración de las Obligaciones Negociables provienen de actividades lícitas relacionadas con mi actividad declarada. Se toma conocimiento que </w:t>
      </w:r>
      <w:r w:rsidRPr="00097457">
        <w:rPr>
          <w:rFonts w:eastAsia="MS Mincho"/>
          <w:lang w:val="es-AR"/>
        </w:rPr>
        <w:t xml:space="preserve">el </w:t>
      </w:r>
      <w:r>
        <w:t>Agente Colocador</w:t>
      </w:r>
      <w:r w:rsidRPr="00097457">
        <w:rPr>
          <w:rFonts w:eastAsia="MS Mincho"/>
          <w:lang w:val="es-AR"/>
        </w:rPr>
        <w:t xml:space="preserve"> </w:t>
      </w:r>
      <w:r w:rsidRPr="00097457">
        <w:rPr>
          <w:lang w:val="es-AR"/>
        </w:rPr>
        <w:t xml:space="preserve">se encuentra facultado a requerir toda la información necesaria para dar cumplimiento con la Ley </w:t>
      </w:r>
      <w:proofErr w:type="spellStart"/>
      <w:r w:rsidRPr="00097457">
        <w:rPr>
          <w:lang w:val="es-AR"/>
        </w:rPr>
        <w:t>N°</w:t>
      </w:r>
      <w:proofErr w:type="spellEnd"/>
      <w:r w:rsidRPr="00097457">
        <w:rPr>
          <w:lang w:val="es-AR"/>
        </w:rPr>
        <w:t xml:space="preserve"> 25.246 y sus modificatorias y reglamentarias, con las normas de la Comisión Nacional de Valores (la “</w:t>
      </w:r>
      <w:r w:rsidRPr="00097457">
        <w:rPr>
          <w:u w:val="single"/>
          <w:lang w:val="es-AR"/>
        </w:rPr>
        <w:t>CNV</w:t>
      </w:r>
      <w:r w:rsidRPr="00097457">
        <w:rPr>
          <w:lang w:val="es-AR"/>
        </w:rPr>
        <w:t>”), del Banco Central de la República Argentina, de la Unidad de Información Financiera</w:t>
      </w:r>
      <w:r>
        <w:rPr>
          <w:lang w:val="es-AR"/>
        </w:rPr>
        <w:t xml:space="preserve"> </w:t>
      </w:r>
      <w:r w:rsidRPr="00097457">
        <w:rPr>
          <w:lang w:val="es-AR"/>
        </w:rPr>
        <w:t xml:space="preserve">y demás normas que les sean aplicables. En consecuencia, me comprometo expresamente a colaborar con el mismo mediante el suministro de información, la entrega de documentación e informes, así como con la provisión de todos aquellos datos que sean necesarios y/o convenientes para que el </w:t>
      </w:r>
      <w:r>
        <w:t>Agente Colocado</w:t>
      </w:r>
      <w:r w:rsidRPr="00097457">
        <w:rPr>
          <w:lang w:val="es-AR"/>
        </w:rPr>
        <w:t>r</w:t>
      </w:r>
      <w:r w:rsidRPr="00097457">
        <w:rPr>
          <w:rFonts w:eastAsia="MS Mincho"/>
          <w:lang w:val="es-AR"/>
        </w:rPr>
        <w:t xml:space="preserve"> </w:t>
      </w:r>
      <w:r w:rsidRPr="00097457">
        <w:rPr>
          <w:lang w:val="es-AR"/>
        </w:rPr>
        <w:t xml:space="preserve">pueda dar acabado cumplimiento a las obligaciones aquí previstas. El </w:t>
      </w:r>
      <w:r>
        <w:t xml:space="preserve">Agente Colocador </w:t>
      </w:r>
      <w:r w:rsidRPr="00097457">
        <w:rPr>
          <w:lang w:val="es-AR"/>
        </w:rPr>
        <w:t xml:space="preserve">se reserva el derecho de rechazar aquellas Órdenes de Compra que no cumplan con la normativa antes mencionada o los requerimientos efectuados por el </w:t>
      </w:r>
      <w:r>
        <w:t>Agente Colocador</w:t>
      </w:r>
      <w:r w:rsidRPr="00097457">
        <w:rPr>
          <w:lang w:val="es-AR"/>
        </w:rPr>
        <w:t xml:space="preserve">. </w:t>
      </w:r>
    </w:p>
    <w:p w14:paraId="0CFF5A3F" w14:textId="77777777" w:rsidR="002F2AEC" w:rsidRPr="00097457" w:rsidRDefault="002F2AEC" w:rsidP="002F2AEC">
      <w:pPr>
        <w:widowControl w:val="0"/>
        <w:tabs>
          <w:tab w:val="left" w:pos="-2244"/>
        </w:tabs>
        <w:ind w:right="-17"/>
        <w:jc w:val="both"/>
        <w:rPr>
          <w:smallCaps/>
          <w:lang w:val="es-AR"/>
        </w:rPr>
      </w:pPr>
    </w:p>
    <w:p w14:paraId="3B35E63F" w14:textId="77777777" w:rsidR="002F2AEC" w:rsidRPr="00097457" w:rsidRDefault="002F2AEC" w:rsidP="002F2AEC">
      <w:pPr>
        <w:keepNext/>
        <w:tabs>
          <w:tab w:val="left" w:pos="-2244"/>
        </w:tabs>
        <w:ind w:right="-17"/>
        <w:jc w:val="both"/>
        <w:rPr>
          <w:lang w:val="es-AR"/>
        </w:rPr>
      </w:pPr>
      <w:r w:rsidRPr="00097457">
        <w:rPr>
          <w:smallCaps/>
          <w:lang w:val="es-AR"/>
        </w:rPr>
        <w:t xml:space="preserve">No Integración. </w:t>
      </w:r>
      <w:r w:rsidRPr="00097457">
        <w:rPr>
          <w:lang w:val="es-AR"/>
        </w:rPr>
        <w:t xml:space="preserve">En caso de que el </w:t>
      </w:r>
      <w:r>
        <w:rPr>
          <w:lang w:val="es-AR"/>
        </w:rPr>
        <w:t>i</w:t>
      </w:r>
      <w:r w:rsidRPr="00097457">
        <w:rPr>
          <w:lang w:val="es-AR"/>
        </w:rPr>
        <w:t>nversor no integre las Obligaciones Negociables</w:t>
      </w:r>
      <w:r w:rsidRPr="00097457" w:rsidDel="001E0051">
        <w:rPr>
          <w:lang w:val="es-AR"/>
        </w:rPr>
        <w:t xml:space="preserve"> </w:t>
      </w:r>
      <w:r w:rsidRPr="00097457">
        <w:rPr>
          <w:lang w:val="es-AR"/>
        </w:rPr>
        <w:t>a más tardar en la Fecha de Emisión, su derecho a recibir las Obligaciones Negociables</w:t>
      </w:r>
      <w:r w:rsidRPr="00097457" w:rsidDel="001E0051">
        <w:rPr>
          <w:lang w:val="es-AR"/>
        </w:rPr>
        <w:t xml:space="preserve"> </w:t>
      </w:r>
      <w:r w:rsidRPr="00097457">
        <w:rPr>
          <w:lang w:val="es-AR"/>
        </w:rPr>
        <w:t xml:space="preserve">que se le hayan adjudicado, caducará automáticamente. El </w:t>
      </w:r>
      <w:r>
        <w:t>Agente Colocador</w:t>
      </w:r>
      <w:r w:rsidRPr="00097457">
        <w:rPr>
          <w:lang w:val="es-AR"/>
        </w:rPr>
        <w:t xml:space="preserve"> no asumirá ningún tipo de responsabilidad por la falta de pago del precio de </w:t>
      </w:r>
      <w:r>
        <w:rPr>
          <w:lang w:val="es-AR"/>
        </w:rPr>
        <w:t>suscripción</w:t>
      </w:r>
      <w:r w:rsidRPr="00097457">
        <w:rPr>
          <w:lang w:val="es-AR"/>
        </w:rPr>
        <w:t xml:space="preserve"> de las Obligaciones Negociables. </w:t>
      </w:r>
    </w:p>
    <w:p w14:paraId="1DCEE40B" w14:textId="77777777" w:rsidR="002F2AEC" w:rsidRPr="00097457" w:rsidRDefault="002F2AEC" w:rsidP="002F2AEC">
      <w:pPr>
        <w:keepNext/>
        <w:ind w:right="-14"/>
        <w:jc w:val="both"/>
        <w:rPr>
          <w:smallCaps/>
          <w:lang w:val="es-AR"/>
        </w:rPr>
      </w:pPr>
    </w:p>
    <w:p w14:paraId="250F35B7" w14:textId="77777777" w:rsidR="002F2AEC" w:rsidRPr="00097457" w:rsidRDefault="002F2AEC" w:rsidP="002F2AEC">
      <w:pPr>
        <w:keepNext/>
        <w:autoSpaceDE w:val="0"/>
        <w:autoSpaceDN w:val="0"/>
        <w:adjustRightInd w:val="0"/>
        <w:jc w:val="both"/>
        <w:rPr>
          <w:lang w:val="es-AR"/>
        </w:rPr>
      </w:pPr>
      <w:r w:rsidRPr="00097457">
        <w:rPr>
          <w:smallCaps/>
          <w:lang w:val="es-AR"/>
        </w:rPr>
        <w:t xml:space="preserve">RESPONSABILIDAD. </w:t>
      </w:r>
      <w:r w:rsidRPr="00097457">
        <w:rPr>
          <w:lang w:val="es-AR"/>
        </w:rPr>
        <w:t xml:space="preserve">Con excepción de lo dispuesto en el </w:t>
      </w:r>
      <w:r>
        <w:rPr>
          <w:lang w:val="es-AR"/>
        </w:rPr>
        <w:t>A</w:t>
      </w:r>
      <w:r w:rsidRPr="00097457">
        <w:rPr>
          <w:lang w:val="es-AR"/>
        </w:rPr>
        <w:t>rtículo 120 de la Ley de Mercado de Capitales</w:t>
      </w:r>
      <w:r w:rsidRPr="00097457">
        <w:rPr>
          <w:smallCaps/>
          <w:lang w:val="es-AR"/>
        </w:rPr>
        <w:t>,</w:t>
      </w:r>
      <w:r w:rsidRPr="00097457">
        <w:rPr>
          <w:lang w:val="es-AR"/>
        </w:rPr>
        <w:t xml:space="preserve"> el </w:t>
      </w:r>
      <w:r>
        <w:t xml:space="preserve">Agente Colocador </w:t>
      </w:r>
      <w:r w:rsidRPr="00097457">
        <w:rPr>
          <w:lang w:val="es-AR"/>
        </w:rPr>
        <w:t xml:space="preserve">no asume ningún tipo de responsabilidad por los daños y perjuicios que pudiere sufrir el </w:t>
      </w:r>
      <w:r>
        <w:rPr>
          <w:lang w:val="es-AR"/>
        </w:rPr>
        <w:t>i</w:t>
      </w:r>
      <w:r w:rsidRPr="00097457">
        <w:rPr>
          <w:lang w:val="es-AR"/>
        </w:rPr>
        <w:t xml:space="preserve">nversor, directa o indirectamente relacionados con la Transacción y/o con las Obligaciones Negociables, sea cual fuere el origen de tales daños y perjuicios. En particular, el </w:t>
      </w:r>
      <w:r>
        <w:t xml:space="preserve">Agente Colocador </w:t>
      </w:r>
      <w:r w:rsidRPr="00097457">
        <w:rPr>
          <w:lang w:val="es-AR"/>
        </w:rPr>
        <w:t xml:space="preserve">no responderá ante el </w:t>
      </w:r>
      <w:r>
        <w:rPr>
          <w:lang w:val="es-AR"/>
        </w:rPr>
        <w:t>i</w:t>
      </w:r>
      <w:r w:rsidRPr="00097457">
        <w:rPr>
          <w:lang w:val="es-AR"/>
        </w:rPr>
        <w:t>nversor</w:t>
      </w:r>
      <w:r>
        <w:rPr>
          <w:lang w:val="es-AR"/>
        </w:rPr>
        <w:t xml:space="preserve"> </w:t>
      </w:r>
      <w:r w:rsidRPr="00097457">
        <w:rPr>
          <w:lang w:val="es-AR"/>
        </w:rPr>
        <w:t xml:space="preserve">en ningún caso por la solvencia o incumplimiento de las entidades, instituciones y personas con las que opere o realice las transacciones directa o indirectamente relacionadas con la Transacción y/o con las Obligaciones Negociables. En este sentido, y a mero título enunciativo, el </w:t>
      </w:r>
      <w:r>
        <w:rPr>
          <w:lang w:val="es-AR"/>
        </w:rPr>
        <w:t>i</w:t>
      </w:r>
      <w:r w:rsidRPr="00097457">
        <w:rPr>
          <w:lang w:val="es-AR"/>
        </w:rPr>
        <w:t xml:space="preserve">nversor reconoce expresamente que no ha recibido asesoramiento alguno del </w:t>
      </w:r>
      <w:r>
        <w:t xml:space="preserve">Agente Colocador </w:t>
      </w:r>
      <w:r w:rsidRPr="00097457">
        <w:rPr>
          <w:lang w:val="es-AR"/>
        </w:rPr>
        <w:t xml:space="preserve">en relación con la conveniencia o no de suscribir las Obligaciones Negociables, habiendo tomado dicha decisión por su propia cuenta, y en base al análisis de riesgo realizado de manera independiente, en función del análisis de los Documentos Informativos, los que fueran puestos a disposición del </w:t>
      </w:r>
      <w:r>
        <w:rPr>
          <w:lang w:val="es-AR"/>
        </w:rPr>
        <w:t>i</w:t>
      </w:r>
      <w:r w:rsidRPr="00097457">
        <w:rPr>
          <w:lang w:val="es-AR"/>
        </w:rPr>
        <w:t xml:space="preserve">nversor por parte del </w:t>
      </w:r>
      <w:r>
        <w:t>Agente Colocador</w:t>
      </w:r>
      <w:r w:rsidRPr="00097457">
        <w:rPr>
          <w:lang w:val="es-AR"/>
        </w:rPr>
        <w:t xml:space="preserve">. En virtud de lo expuesto, el </w:t>
      </w:r>
      <w:r>
        <w:rPr>
          <w:lang w:val="es-AR"/>
        </w:rPr>
        <w:t>i</w:t>
      </w:r>
      <w:r w:rsidRPr="00097457">
        <w:rPr>
          <w:lang w:val="es-AR"/>
        </w:rPr>
        <w:t>nversor</w:t>
      </w:r>
      <w:r>
        <w:rPr>
          <w:lang w:val="es-AR"/>
        </w:rPr>
        <w:t xml:space="preserve"> </w:t>
      </w:r>
      <w:r w:rsidRPr="00097457">
        <w:rPr>
          <w:lang w:val="es-AR"/>
        </w:rPr>
        <w:t xml:space="preserve">renuncia expresamente a realizar reclamo alguno al </w:t>
      </w:r>
      <w:r>
        <w:t xml:space="preserve">Agente Colocador </w:t>
      </w:r>
      <w:r w:rsidRPr="00097457">
        <w:rPr>
          <w:lang w:val="es-AR"/>
        </w:rPr>
        <w:t>en relación con las obligaciones emergentes de las Obligaciones Negociables.</w:t>
      </w:r>
    </w:p>
    <w:p w14:paraId="538C7E67" w14:textId="77777777" w:rsidR="002F2AEC" w:rsidRPr="00097457" w:rsidRDefault="002F2AEC" w:rsidP="002F2AEC">
      <w:pPr>
        <w:widowControl w:val="0"/>
        <w:autoSpaceDE w:val="0"/>
        <w:autoSpaceDN w:val="0"/>
        <w:adjustRightInd w:val="0"/>
        <w:jc w:val="both"/>
        <w:rPr>
          <w:lang w:val="es-AR"/>
        </w:rPr>
      </w:pPr>
    </w:p>
    <w:p w14:paraId="4FDA15DA" w14:textId="77777777" w:rsidR="002F2AEC" w:rsidRDefault="002F2AEC" w:rsidP="002F2AEC">
      <w:pPr>
        <w:jc w:val="both"/>
        <w:rPr>
          <w:lang w:val="es-AR"/>
        </w:rPr>
      </w:pPr>
      <w:r w:rsidRPr="00097457">
        <w:rPr>
          <w:lang w:val="es-AR"/>
        </w:rPr>
        <w:t xml:space="preserve">MANIFESTACIONES. Mediante la suscripción de la presente, el </w:t>
      </w:r>
      <w:r>
        <w:rPr>
          <w:lang w:val="es-AR"/>
        </w:rPr>
        <w:t>i</w:t>
      </w:r>
      <w:r w:rsidRPr="00097457">
        <w:rPr>
          <w:lang w:val="es-AR"/>
        </w:rPr>
        <w:t>nversor declara conocer, entender e irrevocablemente aceptar: (i) todos y cada uno de los términos y condiciones de los Documentos Informativos y aquellas declaraciones que resulten realizadas por éste en aquellos Documentos Informativos por la sola suscripción de las Obligaciones Negociables; (</w:t>
      </w:r>
      <w:proofErr w:type="spellStart"/>
      <w:r w:rsidRPr="00097457">
        <w:rPr>
          <w:lang w:val="es-AR"/>
        </w:rPr>
        <w:t>ii</w:t>
      </w:r>
      <w:proofErr w:type="spellEnd"/>
      <w:r w:rsidRPr="00097457">
        <w:rPr>
          <w:lang w:val="es-AR"/>
        </w:rPr>
        <w:t xml:space="preserve">) que el </w:t>
      </w:r>
      <w:r>
        <w:rPr>
          <w:rFonts w:eastAsia="Calibri"/>
          <w:lang w:eastAsia="es-AR"/>
        </w:rPr>
        <w:t>Agente Colocador</w:t>
      </w:r>
      <w:r w:rsidRPr="00097457">
        <w:rPr>
          <w:lang w:val="es-AR"/>
        </w:rPr>
        <w:t xml:space="preserve"> y/o sus vinculadas podrán, sin necesidad de comunicarle, tener inversiones y/o suscribir en su propia cartera inversiones que sean idénticas o similares a las Obligaciones Negociables y podrá comprar tales inversiones a terceros a precios diferentes de los pagados por el </w:t>
      </w:r>
      <w:r>
        <w:rPr>
          <w:lang w:val="es-AR"/>
        </w:rPr>
        <w:t>i</w:t>
      </w:r>
      <w:r w:rsidRPr="00097457">
        <w:rPr>
          <w:lang w:val="es-AR"/>
        </w:rPr>
        <w:t>nverso</w:t>
      </w:r>
      <w:r>
        <w:rPr>
          <w:lang w:val="es-AR"/>
        </w:rPr>
        <w:t>r</w:t>
      </w:r>
      <w:r w:rsidRPr="00097457">
        <w:rPr>
          <w:lang w:val="es-AR"/>
        </w:rPr>
        <w:t xml:space="preserve">, conforme a la normativa aplicable del Banco Central de la República Argentina; (iii) que el </w:t>
      </w:r>
      <w:r>
        <w:rPr>
          <w:rFonts w:eastAsia="Calibri"/>
          <w:lang w:eastAsia="es-AR"/>
        </w:rPr>
        <w:t>Agente Colocador</w:t>
      </w:r>
      <w:r w:rsidRPr="00097457">
        <w:rPr>
          <w:lang w:val="es-AR"/>
        </w:rPr>
        <w:t xml:space="preserve"> o la Emisora podrán rechazar su oferta en caso que, según su exclusivo criterio (a) pueda tratarse de una operación sospechosa en los términos de la Ley de Prevención del Lavado de Activos (sus normas modificatorias y complementarias); y/o (b) en </w:t>
      </w:r>
      <w:r w:rsidRPr="00097457">
        <w:rPr>
          <w:lang w:val="es-AR"/>
        </w:rPr>
        <w:lastRenderedPageBreak/>
        <w:t>cualquiera de los otros supuestos previstos en los Documentos Informativos; (</w:t>
      </w:r>
      <w:proofErr w:type="spellStart"/>
      <w:r w:rsidRPr="00097457">
        <w:rPr>
          <w:lang w:val="es-AR"/>
        </w:rPr>
        <w:t>iv</w:t>
      </w:r>
      <w:proofErr w:type="spellEnd"/>
      <w:r w:rsidRPr="00097457">
        <w:rPr>
          <w:lang w:val="es-AR"/>
        </w:rPr>
        <w:t xml:space="preserve">) que a su exclusivo criterio la Emisora podrá suspender o prorrogar el Período </w:t>
      </w:r>
      <w:r>
        <w:rPr>
          <w:lang w:val="es-AR"/>
        </w:rPr>
        <w:t xml:space="preserve">de Difusión Pública o Período de Subasta Pública </w:t>
      </w:r>
      <w:r w:rsidRPr="00097457">
        <w:rPr>
          <w:lang w:val="es-AR"/>
        </w:rPr>
        <w:t>de acuerdo a lo previsto en los Documentos Informativos, (v) que la determ</w:t>
      </w:r>
      <w:r>
        <w:rPr>
          <w:lang w:val="es-AR"/>
        </w:rPr>
        <w:t>inación del Margen A</w:t>
      </w:r>
      <w:r w:rsidRPr="00097457">
        <w:rPr>
          <w:lang w:val="es-AR"/>
        </w:rPr>
        <w:t>plicable</w:t>
      </w:r>
      <w:r>
        <w:rPr>
          <w:lang w:val="es-AR"/>
        </w:rPr>
        <w:t>,</w:t>
      </w:r>
      <w:r w:rsidRPr="00097457">
        <w:rPr>
          <w:lang w:val="es-AR"/>
        </w:rPr>
        <w:t xml:space="preserve"> y del valor nominal de las Obligaciones Negociables a emitirse será efectuada por la Emisora de acuerdo al procedimiento de licitación descripto en los Documentos</w:t>
      </w:r>
      <w:r>
        <w:rPr>
          <w:lang w:val="es-AR"/>
        </w:rPr>
        <w:t xml:space="preserve"> Informativos y en función del Margen S</w:t>
      </w:r>
      <w:r w:rsidRPr="00097457">
        <w:rPr>
          <w:lang w:val="es-AR"/>
        </w:rPr>
        <w:t>olicitado</w:t>
      </w:r>
      <w:r>
        <w:rPr>
          <w:lang w:val="es-AR"/>
        </w:rPr>
        <w:t xml:space="preserve">, </w:t>
      </w:r>
      <w:r w:rsidRPr="00097457">
        <w:rPr>
          <w:lang w:val="es-AR"/>
        </w:rPr>
        <w:t xml:space="preserve">y de los valores nominales suscriptos por los </w:t>
      </w:r>
      <w:r>
        <w:rPr>
          <w:lang w:val="es-AR"/>
        </w:rPr>
        <w:t>i</w:t>
      </w:r>
      <w:r w:rsidRPr="00097457">
        <w:rPr>
          <w:lang w:val="es-AR"/>
        </w:rPr>
        <w:t>nversore</w:t>
      </w:r>
      <w:r>
        <w:rPr>
          <w:lang w:val="es-AR"/>
        </w:rPr>
        <w:t>s</w:t>
      </w:r>
      <w:r w:rsidRPr="00097457">
        <w:rPr>
          <w:lang w:val="es-AR"/>
        </w:rPr>
        <w:t xml:space="preserve">; (vi) que ni la Emisora ni </w:t>
      </w:r>
      <w:r>
        <w:rPr>
          <w:lang w:val="es-AR"/>
        </w:rPr>
        <w:t xml:space="preserve">el </w:t>
      </w:r>
      <w:r>
        <w:rPr>
          <w:rFonts w:eastAsia="Calibri"/>
          <w:lang w:eastAsia="es-AR"/>
        </w:rPr>
        <w:t>Agente Colocador</w:t>
      </w:r>
      <w:r w:rsidRPr="00097457">
        <w:rPr>
          <w:lang w:val="es-AR"/>
        </w:rPr>
        <w:t xml:space="preserve"> garantizan a los </w:t>
      </w:r>
      <w:r>
        <w:rPr>
          <w:lang w:val="es-AR"/>
        </w:rPr>
        <w:t>i</w:t>
      </w:r>
      <w:r w:rsidRPr="00097457">
        <w:rPr>
          <w:lang w:val="es-AR"/>
        </w:rPr>
        <w:t>nversores</w:t>
      </w:r>
      <w:r>
        <w:rPr>
          <w:lang w:val="es-AR"/>
        </w:rPr>
        <w:t xml:space="preserve"> </w:t>
      </w:r>
      <w:r w:rsidRPr="00097457">
        <w:rPr>
          <w:lang w:val="es-AR"/>
        </w:rPr>
        <w:t>que remitan Órdenes de Compra que se les adjudicará el mismo valor nominal de las Obligaciones Negociables detallado en la Orden de Compra (pudiendo inclusive no serle adjudicada ninguna Obligación Negociable), ni que se les adjudicarán Obligaciones Negociables; (</w:t>
      </w:r>
      <w:proofErr w:type="spellStart"/>
      <w:r w:rsidRPr="00097457">
        <w:rPr>
          <w:lang w:val="es-AR"/>
        </w:rPr>
        <w:t>vii</w:t>
      </w:r>
      <w:proofErr w:type="spellEnd"/>
      <w:r w:rsidRPr="00097457">
        <w:rPr>
          <w:lang w:val="es-AR"/>
        </w:rPr>
        <w:t xml:space="preserve">) que en ningún caso podrá efectuar reclamo alguno a la Emisora o </w:t>
      </w:r>
      <w:r>
        <w:rPr>
          <w:lang w:val="es-AR"/>
        </w:rPr>
        <w:t xml:space="preserve">al </w:t>
      </w:r>
      <w:r>
        <w:rPr>
          <w:rFonts w:eastAsia="Calibri"/>
          <w:lang w:eastAsia="es-AR"/>
        </w:rPr>
        <w:t>Agente Colocador</w:t>
      </w:r>
      <w:r>
        <w:rPr>
          <w:lang w:val="es-AR"/>
        </w:rPr>
        <w:t xml:space="preserve"> por el Margen A</w:t>
      </w:r>
      <w:r w:rsidRPr="00097457">
        <w:rPr>
          <w:lang w:val="es-AR"/>
        </w:rPr>
        <w:t>plicable</w:t>
      </w:r>
      <w:r>
        <w:rPr>
          <w:lang w:val="es-AR"/>
        </w:rPr>
        <w:t xml:space="preserve">, </w:t>
      </w:r>
      <w:r w:rsidRPr="00097457">
        <w:rPr>
          <w:lang w:val="es-AR"/>
        </w:rPr>
        <w:t>y por la cantidad de Obligaciones Negociables efectivamente adjudicadas a su favor; (</w:t>
      </w:r>
      <w:proofErr w:type="spellStart"/>
      <w:r w:rsidRPr="00097457">
        <w:rPr>
          <w:lang w:val="es-AR"/>
        </w:rPr>
        <w:t>viii</w:t>
      </w:r>
      <w:proofErr w:type="spellEnd"/>
      <w:r w:rsidRPr="00097457">
        <w:rPr>
          <w:lang w:val="es-AR"/>
        </w:rPr>
        <w:t>) que, de conformidad a lo previsto en los Documentos Informativos, la Emisora se reserva el derecho de declarar desierta la colocación de las Obligaciones Negociables y/o de dejar sin efecto la emisión en cualquier momento, a más tardar hasta la efectiva emisión de las Obligaciones Negociables; (</w:t>
      </w:r>
      <w:proofErr w:type="spellStart"/>
      <w:r w:rsidRPr="00097457">
        <w:rPr>
          <w:lang w:val="es-AR"/>
        </w:rPr>
        <w:t>ix</w:t>
      </w:r>
      <w:proofErr w:type="spellEnd"/>
      <w:r w:rsidRPr="00097457">
        <w:rPr>
          <w:lang w:val="es-AR"/>
        </w:rPr>
        <w:t xml:space="preserve">) que de conformidad con las Normas de las CNV, los </w:t>
      </w:r>
      <w:r>
        <w:rPr>
          <w:lang w:val="es-AR"/>
        </w:rPr>
        <w:t>i</w:t>
      </w:r>
      <w:r w:rsidRPr="00097457">
        <w:rPr>
          <w:lang w:val="es-AR"/>
        </w:rPr>
        <w:t>nversores</w:t>
      </w:r>
      <w:r>
        <w:rPr>
          <w:lang w:val="es-AR"/>
        </w:rPr>
        <w:t xml:space="preserve"> </w:t>
      </w:r>
      <w:r w:rsidRPr="00097457">
        <w:rPr>
          <w:lang w:val="es-AR"/>
        </w:rPr>
        <w:t xml:space="preserve">podrán presentar a los </w:t>
      </w:r>
      <w:r>
        <w:rPr>
          <w:rFonts w:eastAsia="Arial Unicode MS"/>
          <w:lang w:val="es-AR"/>
        </w:rPr>
        <w:t>Agentes Colocadores</w:t>
      </w:r>
      <w:r w:rsidRPr="00097457">
        <w:rPr>
          <w:lang w:val="es-AR"/>
        </w:rPr>
        <w:t xml:space="preserve"> o a los Agentes Intermediarios</w:t>
      </w:r>
      <w:r>
        <w:rPr>
          <w:lang w:val="es-AR"/>
        </w:rPr>
        <w:t xml:space="preserve"> Habilitados </w:t>
      </w:r>
      <w:r w:rsidRPr="00097457">
        <w:rPr>
          <w:lang w:val="es-AR"/>
        </w:rPr>
        <w:t xml:space="preserve">Órdenes de Compra por alguno de los siguientes medios, los que podrán variar según la implementación que haya efectuado cada </w:t>
      </w:r>
      <w:r>
        <w:rPr>
          <w:rFonts w:eastAsia="Calibri"/>
          <w:lang w:eastAsia="es-AR"/>
        </w:rPr>
        <w:t xml:space="preserve">Agente Colocador </w:t>
      </w:r>
      <w:r w:rsidRPr="00097457">
        <w:rPr>
          <w:lang w:val="es-AR"/>
        </w:rPr>
        <w:t>o Agente Intermediario Habilitado: (i) de forma verbal incluyendo la utilización de sistemas telefónicos con registro y grabación de llamadas que permitan identificar al cliente, (</w:t>
      </w:r>
      <w:proofErr w:type="spellStart"/>
      <w:r w:rsidRPr="00097457">
        <w:rPr>
          <w:lang w:val="es-AR"/>
        </w:rPr>
        <w:t>ii</w:t>
      </w:r>
      <w:proofErr w:type="spellEnd"/>
      <w:r w:rsidRPr="00097457">
        <w:rPr>
          <w:lang w:val="es-AR"/>
        </w:rPr>
        <w:t xml:space="preserve">) de forma presencial en las oficinas de </w:t>
      </w:r>
      <w:r>
        <w:rPr>
          <w:lang w:val="es-AR"/>
        </w:rPr>
        <w:t xml:space="preserve">los </w:t>
      </w:r>
      <w:r>
        <w:rPr>
          <w:rFonts w:eastAsia="Arial Unicode MS"/>
          <w:lang w:val="es-AR"/>
        </w:rPr>
        <w:t>Agentes Colocadores</w:t>
      </w:r>
      <w:r w:rsidRPr="00097457">
        <w:rPr>
          <w:lang w:val="es-AR"/>
        </w:rPr>
        <w:t xml:space="preserve"> y Age</w:t>
      </w:r>
      <w:r>
        <w:rPr>
          <w:lang w:val="es-AR"/>
        </w:rPr>
        <w:t xml:space="preserve">ntes Intermediarios Habilitados, </w:t>
      </w:r>
      <w:r w:rsidRPr="00D84ACF">
        <w:rPr>
          <w:lang w:val="es-AR"/>
        </w:rPr>
        <w:t>en la medida que sea posible</w:t>
      </w:r>
      <w:r>
        <w:rPr>
          <w:lang w:val="es-AR"/>
        </w:rPr>
        <w:t>,</w:t>
      </w:r>
      <w:r w:rsidRPr="00097457">
        <w:rPr>
          <w:lang w:val="es-AR"/>
        </w:rPr>
        <w:t xml:space="preserve"> y (iii) por otros medios electrónicos incluyendo (a) la utilización de correo electrónico (e-mail) declarado por el cliente, y (b) la página de internet de cada </w:t>
      </w:r>
      <w:r>
        <w:rPr>
          <w:rFonts w:eastAsia="Calibri"/>
          <w:lang w:eastAsia="es-AR"/>
        </w:rPr>
        <w:t>Agente Colocador</w:t>
      </w:r>
      <w:r w:rsidRPr="00097457">
        <w:rPr>
          <w:lang w:val="es-AR"/>
        </w:rPr>
        <w:t xml:space="preserve"> o Agente Intermediario Habilitado, a través de canales de “home </w:t>
      </w:r>
      <w:proofErr w:type="spellStart"/>
      <w:r w:rsidRPr="00097457">
        <w:rPr>
          <w:lang w:val="es-AR"/>
        </w:rPr>
        <w:t>banking</w:t>
      </w:r>
      <w:proofErr w:type="spellEnd"/>
      <w:r w:rsidRPr="00097457">
        <w:rPr>
          <w:lang w:val="es-AR"/>
        </w:rPr>
        <w:t>”</w:t>
      </w:r>
      <w:r>
        <w:rPr>
          <w:lang w:val="es-AR"/>
        </w:rPr>
        <w:t xml:space="preserve"> </w:t>
      </w:r>
      <w:r w:rsidRPr="008F702B">
        <w:rPr>
          <w:lang w:val="es-AR"/>
        </w:rPr>
        <w:t>o plataformas electrónicas</w:t>
      </w:r>
      <w:r w:rsidRPr="00097457">
        <w:rPr>
          <w:lang w:val="es-AR"/>
        </w:rPr>
        <w:t xml:space="preserve">; (x) que no se encuentra radicado en un país considerado no cooperador a los fines de la transparencia fiscal de acuerdo a lo dispuesto en el </w:t>
      </w:r>
      <w:r>
        <w:rPr>
          <w:lang w:val="es-AR"/>
        </w:rPr>
        <w:t>A</w:t>
      </w:r>
      <w:r w:rsidRPr="00097457">
        <w:rPr>
          <w:lang w:val="es-AR"/>
        </w:rPr>
        <w:t xml:space="preserve">rtículo </w:t>
      </w:r>
      <w:r>
        <w:rPr>
          <w:lang w:val="es-AR"/>
        </w:rPr>
        <w:t>2°, inciso b)</w:t>
      </w:r>
      <w:r w:rsidRPr="00097457">
        <w:rPr>
          <w:lang w:val="es-AR"/>
        </w:rPr>
        <w:t xml:space="preserve"> del Decreto </w:t>
      </w:r>
      <w:proofErr w:type="spellStart"/>
      <w:r w:rsidRPr="00097457">
        <w:rPr>
          <w:lang w:val="es-AR"/>
        </w:rPr>
        <w:t>Nº</w:t>
      </w:r>
      <w:proofErr w:type="spellEnd"/>
      <w:r w:rsidRPr="00097457">
        <w:rPr>
          <w:lang w:val="es-AR"/>
        </w:rPr>
        <w:t xml:space="preserve"> </w:t>
      </w:r>
      <w:r>
        <w:rPr>
          <w:lang w:val="es-AR"/>
        </w:rPr>
        <w:t>824</w:t>
      </w:r>
      <w:r w:rsidRPr="00097457">
        <w:rPr>
          <w:lang w:val="es-AR"/>
        </w:rPr>
        <w:t>/201</w:t>
      </w:r>
      <w:r>
        <w:rPr>
          <w:lang w:val="es-AR"/>
        </w:rPr>
        <w:t>9</w:t>
      </w:r>
      <w:r w:rsidRPr="00097457">
        <w:rPr>
          <w:lang w:val="es-AR"/>
        </w:rPr>
        <w:t>, ni utiliza cuentas pertenecientes a entidades financieras radicadas en dichos países a efectos de realizar la suscripción d</w:t>
      </w:r>
      <w:r>
        <w:rPr>
          <w:lang w:val="es-AR"/>
        </w:rPr>
        <w:t>e las Obligaciones Negociables; (xi</w:t>
      </w:r>
      <w:r w:rsidRPr="00097457">
        <w:rPr>
          <w:lang w:val="es-AR"/>
        </w:rPr>
        <w:t>) que entiende el alcance de la exposición al riesgo con relación a la inversión en las Obligaciones Negociables, y considera que el mismo es adecuado a su nivel de entendimiento, perfil del inversor y tolerancia al riesgo, y que teniendo en cuenta sus propias circunstancias y condición financiera, se ha asesorado por su propia cuenta y tomado todos los recaudos que razonablemente ha estimado necesarios antes de realizar la misma, sin haber recibido ningún tipo de asesoramiento legal, comercial, financiero, impositivo y/o de otro tipo por parte</w:t>
      </w:r>
      <w:r>
        <w:rPr>
          <w:lang w:val="es-AR"/>
        </w:rPr>
        <w:t xml:space="preserve"> de</w:t>
      </w:r>
      <w:r w:rsidRPr="00097457">
        <w:rPr>
          <w:lang w:val="es-AR"/>
        </w:rPr>
        <w:t xml:space="preserve"> los </w:t>
      </w:r>
      <w:r>
        <w:rPr>
          <w:rFonts w:eastAsia="Arial Unicode MS"/>
          <w:lang w:val="es-AR"/>
        </w:rPr>
        <w:t>Agentes Colocadores</w:t>
      </w:r>
      <w:r w:rsidRPr="00097457">
        <w:rPr>
          <w:lang w:val="es-AR"/>
        </w:rPr>
        <w:t xml:space="preserve">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 los </w:t>
      </w:r>
      <w:r>
        <w:rPr>
          <w:rFonts w:eastAsia="Arial Unicode MS"/>
          <w:lang w:val="es-AR"/>
        </w:rPr>
        <w:t>Agentes Colocadores</w:t>
      </w:r>
      <w:r w:rsidRPr="00097457">
        <w:rPr>
          <w:lang w:val="es-AR"/>
        </w:rPr>
        <w:t xml:space="preserve"> y/o de cualquiera de sus sociedades controlantes, controladas, vinculadas </w:t>
      </w:r>
      <w:r>
        <w:rPr>
          <w:lang w:val="es-AR"/>
        </w:rPr>
        <w:t>o sujetas al control común; (</w:t>
      </w:r>
      <w:proofErr w:type="spellStart"/>
      <w:r>
        <w:rPr>
          <w:lang w:val="es-AR"/>
        </w:rPr>
        <w:t>xii</w:t>
      </w:r>
      <w:proofErr w:type="spellEnd"/>
      <w:r w:rsidRPr="00097457">
        <w:rPr>
          <w:lang w:val="es-AR"/>
        </w:rPr>
        <w:t>)</w:t>
      </w:r>
      <w:r>
        <w:rPr>
          <w:lang w:val="es-AR"/>
        </w:rPr>
        <w:t xml:space="preserve"> </w:t>
      </w:r>
      <w:r w:rsidRPr="00097457">
        <w:rPr>
          <w:lang w:val="es-AR"/>
        </w:rPr>
        <w:t xml:space="preserve">que la Orden de Compra constituye una solicitud de compra irrevocable, vinculante y definitiva en los términos del </w:t>
      </w:r>
      <w:r w:rsidRPr="006912AD">
        <w:rPr>
          <w:lang w:val="es-AR"/>
        </w:rPr>
        <w:t>Artículo 7 apartado b) de la Sección II del Capítulo IV del Título VI de las Normas de la CNV</w:t>
      </w:r>
      <w:r w:rsidRPr="00097457">
        <w:rPr>
          <w:lang w:val="es-AR"/>
        </w:rPr>
        <w:t xml:space="preserve">, la cual no podrá ser desistida (salvo en el caso de suspensión y/o prórroga del Período de </w:t>
      </w:r>
      <w:r>
        <w:rPr>
          <w:lang w:val="es-AR"/>
        </w:rPr>
        <w:t xml:space="preserve">Subasta </w:t>
      </w:r>
      <w:r w:rsidRPr="00097457">
        <w:rPr>
          <w:lang w:val="es-AR"/>
        </w:rPr>
        <w:t>Pública) y, por lo tanto, renuncia a su facultad de revocación, ratificación ni d</w:t>
      </w:r>
      <w:r>
        <w:rPr>
          <w:lang w:val="es-AR"/>
        </w:rPr>
        <w:t>e que la misma sea retirada; (</w:t>
      </w:r>
      <w:proofErr w:type="spellStart"/>
      <w:r>
        <w:rPr>
          <w:lang w:val="es-AR"/>
        </w:rPr>
        <w:t>x</w:t>
      </w:r>
      <w:r w:rsidRPr="00097457">
        <w:rPr>
          <w:lang w:val="es-AR"/>
        </w:rPr>
        <w:t>ii</w:t>
      </w:r>
      <w:r>
        <w:rPr>
          <w:lang w:val="es-AR"/>
        </w:rPr>
        <w:t>i</w:t>
      </w:r>
      <w:proofErr w:type="spellEnd"/>
      <w:r w:rsidRPr="00097457">
        <w:rPr>
          <w:lang w:val="es-AR"/>
        </w:rPr>
        <w:t xml:space="preserve">) que conoce y acepta que el </w:t>
      </w:r>
      <w:r>
        <w:rPr>
          <w:rFonts w:eastAsia="Calibri"/>
          <w:lang w:eastAsia="es-AR"/>
        </w:rPr>
        <w:t xml:space="preserve">Agente Colocador </w:t>
      </w:r>
      <w:r w:rsidRPr="00097457">
        <w:rPr>
          <w:lang w:val="es-AR"/>
        </w:rPr>
        <w:t xml:space="preserve">percibe comisiones en relación con la colocación de las </w:t>
      </w:r>
      <w:r>
        <w:rPr>
          <w:lang w:val="es-AR"/>
        </w:rPr>
        <w:t>Obligaciones Negociables; (</w:t>
      </w:r>
      <w:proofErr w:type="spellStart"/>
      <w:r>
        <w:rPr>
          <w:lang w:val="es-AR"/>
        </w:rPr>
        <w:t>xiv</w:t>
      </w:r>
      <w:proofErr w:type="spellEnd"/>
      <w:r w:rsidRPr="00097457">
        <w:rPr>
          <w:lang w:val="es-AR"/>
        </w:rPr>
        <w:t>) que sujeto a lo dispuesto en el Suplemento de</w:t>
      </w:r>
      <w:r>
        <w:rPr>
          <w:lang w:val="es-AR"/>
        </w:rPr>
        <w:t xml:space="preserve"> </w:t>
      </w:r>
      <w:r w:rsidRPr="00097457">
        <w:rPr>
          <w:rFonts w:eastAsia="Arial Unicode MS"/>
          <w:lang w:val="es-AR"/>
        </w:rPr>
        <w:t>Pr</w:t>
      </w:r>
      <w:r>
        <w:rPr>
          <w:rFonts w:eastAsia="Arial Unicode MS"/>
          <w:lang w:val="es-AR"/>
        </w:rPr>
        <w:t>ospecto</w:t>
      </w:r>
      <w:r w:rsidRPr="00097457">
        <w:rPr>
          <w:lang w:val="es-AR"/>
        </w:rPr>
        <w:t xml:space="preserve">, ni el </w:t>
      </w:r>
      <w:r>
        <w:rPr>
          <w:rFonts w:eastAsia="Calibri"/>
          <w:lang w:eastAsia="es-AR"/>
        </w:rPr>
        <w:t>Agente Colocador</w:t>
      </w:r>
      <w:r w:rsidRPr="00097457">
        <w:rPr>
          <w:lang w:val="es-AR"/>
        </w:rPr>
        <w:t xml:space="preserve"> ni la Emisora serán responsables por los problemas, fallas, pérdidas de enlace, errores en la aplicación ni caídas del software </w:t>
      </w:r>
      <w:r w:rsidRPr="00097457">
        <w:rPr>
          <w:lang w:val="es-AR"/>
        </w:rPr>
        <w:lastRenderedPageBreak/>
        <w:t>al uti</w:t>
      </w:r>
      <w:r>
        <w:rPr>
          <w:lang w:val="es-AR"/>
        </w:rPr>
        <w:t>lizar el Sistema SIOPEL de A3 Mercados; (</w:t>
      </w:r>
      <w:proofErr w:type="spellStart"/>
      <w:r>
        <w:rPr>
          <w:lang w:val="es-AR"/>
        </w:rPr>
        <w:t>xv</w:t>
      </w:r>
      <w:proofErr w:type="spellEnd"/>
      <w:r w:rsidRPr="00097457">
        <w:rPr>
          <w:lang w:val="es-AR"/>
        </w:rPr>
        <w:t xml:space="preserve">) que ni la Emisora ni el </w:t>
      </w:r>
      <w:r>
        <w:rPr>
          <w:rFonts w:eastAsia="Calibri"/>
          <w:lang w:eastAsia="es-AR"/>
        </w:rPr>
        <w:t xml:space="preserve">Agente Colocador </w:t>
      </w:r>
      <w:r w:rsidRPr="00097457">
        <w:rPr>
          <w:lang w:val="es-AR"/>
        </w:rPr>
        <w:t xml:space="preserve">garantizan la existencia de mercado secundario para la negociación de las Obligaciones Negociables; </w:t>
      </w:r>
      <w:r>
        <w:rPr>
          <w:lang w:val="es-AR"/>
        </w:rPr>
        <w:t>(</w:t>
      </w:r>
      <w:proofErr w:type="spellStart"/>
      <w:r>
        <w:rPr>
          <w:lang w:val="es-AR"/>
        </w:rPr>
        <w:t>xvi</w:t>
      </w:r>
      <w:proofErr w:type="spellEnd"/>
      <w:r w:rsidRPr="00097457">
        <w:rPr>
          <w:lang w:val="es-AR"/>
        </w:rPr>
        <w:t xml:space="preserve">) que todos los datos informados en la presente reciben el carácter de declaración jurada y son correctos y completos al día de la fecha, en tal sentido, el potencial inversor se compromete a notificar al </w:t>
      </w:r>
      <w:r>
        <w:rPr>
          <w:rFonts w:eastAsia="Calibri"/>
          <w:lang w:eastAsia="es-AR"/>
        </w:rPr>
        <w:t xml:space="preserve">Agente Colocador </w:t>
      </w:r>
      <w:r w:rsidRPr="00097457">
        <w:rPr>
          <w:lang w:val="es-AR"/>
        </w:rPr>
        <w:t>cualquier cambio/modificación que se produzca respecto de los datos y documentación aportados dentro de los 30 (trein</w:t>
      </w:r>
      <w:r>
        <w:rPr>
          <w:lang w:val="es-AR"/>
        </w:rPr>
        <w:t>ta) días corridos de producidos; (</w:t>
      </w:r>
      <w:proofErr w:type="spellStart"/>
      <w:r>
        <w:rPr>
          <w:lang w:val="es-AR"/>
        </w:rPr>
        <w:t>xvii</w:t>
      </w:r>
      <w:proofErr w:type="spellEnd"/>
      <w:r w:rsidRPr="00097457">
        <w:rPr>
          <w:lang w:val="es-AR"/>
        </w:rPr>
        <w:t>) que ha recibido copia íntegra de los Documentos Informativ</w:t>
      </w:r>
      <w:r>
        <w:rPr>
          <w:lang w:val="es-AR"/>
        </w:rPr>
        <w:t>os; y (</w:t>
      </w:r>
      <w:proofErr w:type="spellStart"/>
      <w:r>
        <w:rPr>
          <w:lang w:val="es-AR"/>
        </w:rPr>
        <w:t>xviii</w:t>
      </w:r>
      <w:proofErr w:type="spellEnd"/>
      <w:r>
        <w:rPr>
          <w:lang w:val="es-AR"/>
        </w:rPr>
        <w:t xml:space="preserve">) </w:t>
      </w:r>
      <w:r w:rsidRPr="00097457">
        <w:rPr>
          <w:lang w:val="es-AR"/>
        </w:rPr>
        <w:t xml:space="preserve">que todo conflicto relativo a la presente Orden de Compra y los derechos y obligaciones emergentes de la misma, será resuelto en forma definitiva por el </w:t>
      </w:r>
      <w:r w:rsidRPr="00570975">
        <w:rPr>
          <w:lang w:val="es-AR"/>
        </w:rPr>
        <w:t xml:space="preserve">Tribunal de Arbitraje General de la Bolsa de Comercio de Buenos Aires, por las reglas del arbitraje de derecho, sin perjuicio de lo previsto en el </w:t>
      </w:r>
      <w:r>
        <w:rPr>
          <w:lang w:val="es-AR"/>
        </w:rPr>
        <w:t>A</w:t>
      </w:r>
      <w:r w:rsidRPr="00570975">
        <w:rPr>
          <w:lang w:val="es-AR"/>
        </w:rPr>
        <w:t>rtículo 46 de la Ley de Mercado de Capitales.</w:t>
      </w:r>
    </w:p>
    <w:p w14:paraId="4DECE963" w14:textId="77777777" w:rsidR="00452AE1" w:rsidRDefault="00452AE1" w:rsidP="002F2AEC">
      <w:pPr>
        <w:jc w:val="both"/>
        <w:rPr>
          <w:lang w:val="es-AR"/>
        </w:rPr>
      </w:pPr>
    </w:p>
    <w:p w14:paraId="25ADB115" w14:textId="77777777" w:rsidR="00452AE1" w:rsidRPr="00452AE1" w:rsidRDefault="00452AE1" w:rsidP="00452AE1">
      <w:pPr>
        <w:pStyle w:val="Prrafodelista"/>
        <w:spacing w:after="240"/>
        <w:ind w:left="0"/>
        <w:jc w:val="both"/>
        <w:rPr>
          <w:lang w:val="es-AR"/>
        </w:rPr>
      </w:pPr>
      <w:r w:rsidRPr="00452AE1">
        <w:rPr>
          <w:lang w:val="es-AR"/>
        </w:rPr>
        <w:t>Declaración Jurada FATCA: Por la presente declaro bajo juramento que se encuentra vigente en todos sus términos la declaración jurada FATCA oportunamente presentada ante esta entidad.</w:t>
      </w:r>
    </w:p>
    <w:p w14:paraId="19C0A813" w14:textId="77777777" w:rsidR="002F2AEC" w:rsidRPr="00097457" w:rsidRDefault="002F2AEC" w:rsidP="002F2AEC">
      <w:pPr>
        <w:ind w:right="-36"/>
        <w:jc w:val="both"/>
      </w:pPr>
      <w:r w:rsidRPr="00097457">
        <w:rPr>
          <w:rFonts w:eastAsia="Arial Unicode MS"/>
          <w:smallCaps/>
        </w:rPr>
        <w:t>Gastos, Comisiones e Impuestos.</w:t>
      </w:r>
      <w:r w:rsidRPr="00097457">
        <w:t xml:space="preserve"> Todos los impuestos, aranceles, cargas, gastos, comisiones, contribuciones y/o gravámenes de cualquier naturaleza que surjan de cualquier incumplimiento por parte del/los firmantes, estarán a su cargo y se reembolsarán íntegramente al </w:t>
      </w:r>
      <w:r>
        <w:rPr>
          <w:rFonts w:eastAsia="Calibri"/>
          <w:lang w:eastAsia="es-AR"/>
        </w:rPr>
        <w:t xml:space="preserve">Agente Colocador </w:t>
      </w:r>
      <w:r w:rsidRPr="00097457">
        <w:t>en forma inmediata por cualquier monto que estos hubiesen debido pagar, pudiendo en caso contrario ser debitados de sus cuentas.</w:t>
      </w:r>
    </w:p>
    <w:p w14:paraId="5FB9F6C3" w14:textId="77777777" w:rsidR="002F2AEC" w:rsidRPr="00097457" w:rsidRDefault="002F2AEC" w:rsidP="002F2AEC">
      <w:pPr>
        <w:jc w:val="both"/>
      </w:pPr>
    </w:p>
    <w:p w14:paraId="7C3C837C" w14:textId="77777777" w:rsidR="002F2AEC" w:rsidRPr="00097457" w:rsidRDefault="002F2AEC" w:rsidP="002F2AEC">
      <w:pPr>
        <w:pStyle w:val="Textoindependiente"/>
        <w:tabs>
          <w:tab w:val="left" w:pos="1496"/>
        </w:tabs>
        <w:jc w:val="both"/>
        <w:rPr>
          <w:color w:val="000000"/>
          <w:lang w:val="es-AR"/>
        </w:rPr>
      </w:pPr>
      <w:r w:rsidRPr="00097457">
        <w:rPr>
          <w:color w:val="000000"/>
          <w:lang w:val="es-AR"/>
        </w:rPr>
        <w:t>Por último, tomamos conocimiento de las siguientes fechas:</w:t>
      </w:r>
    </w:p>
    <w:p w14:paraId="388D146C" w14:textId="77777777" w:rsidR="002F2AEC" w:rsidRPr="00097457" w:rsidRDefault="002F2AEC" w:rsidP="002F2AEC">
      <w:pPr>
        <w:pStyle w:val="Textoindependiente"/>
        <w:tabs>
          <w:tab w:val="left" w:pos="1496"/>
        </w:tabs>
        <w:jc w:val="both"/>
        <w:rPr>
          <w:color w:val="000000"/>
          <w:lang w:val="es-AR"/>
        </w:rPr>
      </w:pPr>
    </w:p>
    <w:p w14:paraId="17554E20" w14:textId="77777777" w:rsidR="002F2AEC" w:rsidRDefault="002F2AEC" w:rsidP="002F2AEC">
      <w:pPr>
        <w:pStyle w:val="Textoindependiente"/>
        <w:tabs>
          <w:tab w:val="left" w:pos="1496"/>
        </w:tabs>
        <w:jc w:val="both"/>
        <w:rPr>
          <w:lang w:val="es-AR"/>
        </w:rPr>
      </w:pPr>
      <w:r w:rsidRPr="00097457">
        <w:rPr>
          <w:color w:val="000000"/>
          <w:u w:val="single"/>
          <w:lang w:val="es-AR"/>
        </w:rPr>
        <w:t>Período de Difusión Pública</w:t>
      </w:r>
      <w:r w:rsidRPr="00097457">
        <w:rPr>
          <w:color w:val="000000"/>
          <w:lang w:val="es-AR"/>
        </w:rPr>
        <w:t xml:space="preserve">: </w:t>
      </w:r>
      <w:r>
        <w:rPr>
          <w:lang w:val="es-AR"/>
        </w:rPr>
        <w:t>Tendrá lugar el 9 de diciembre de 2025 y finalizará el 9 de diciembre de 2025.</w:t>
      </w:r>
    </w:p>
    <w:p w14:paraId="3EA2E1C4" w14:textId="77777777" w:rsidR="002F2AEC" w:rsidRPr="00097457" w:rsidRDefault="002F2AEC" w:rsidP="002F2AEC">
      <w:pPr>
        <w:pStyle w:val="Textoindependiente"/>
        <w:tabs>
          <w:tab w:val="left" w:pos="1496"/>
        </w:tabs>
        <w:jc w:val="both"/>
        <w:rPr>
          <w:color w:val="000000"/>
          <w:u w:val="single"/>
          <w:lang w:val="es-AR"/>
        </w:rPr>
      </w:pPr>
    </w:p>
    <w:p w14:paraId="09BBE244" w14:textId="77777777" w:rsidR="002F2AEC" w:rsidRPr="00097457" w:rsidRDefault="002F2AEC" w:rsidP="002F2AEC">
      <w:pPr>
        <w:jc w:val="both"/>
        <w:rPr>
          <w:lang w:val="es-AR"/>
        </w:rPr>
      </w:pPr>
      <w:r w:rsidRPr="0092255A">
        <w:rPr>
          <w:color w:val="000000"/>
          <w:u w:val="single"/>
          <w:lang w:val="es-AR"/>
        </w:rPr>
        <w:t>Período de Subasta Pública</w:t>
      </w:r>
      <w:r w:rsidRPr="0092255A">
        <w:rPr>
          <w:lang w:val="es-AR"/>
        </w:rPr>
        <w:t xml:space="preserve">: </w:t>
      </w:r>
      <w:r w:rsidRPr="001467AD">
        <w:rPr>
          <w:lang w:val="es-AR"/>
        </w:rPr>
        <w:t>Comenzará a las 10 horas del 10 de diciembre de 2025 y finalizará a las 16.15 horas del 10 de diciembre de 2025</w:t>
      </w:r>
      <w:r w:rsidRPr="0092255A">
        <w:rPr>
          <w:lang w:val="es-AR"/>
        </w:rPr>
        <w:t>.</w:t>
      </w:r>
    </w:p>
    <w:p w14:paraId="07E3F7D0" w14:textId="77777777" w:rsidR="002F2AEC" w:rsidRPr="00097457" w:rsidRDefault="002F2AEC" w:rsidP="002F2AEC">
      <w:pPr>
        <w:pStyle w:val="Textoindependiente"/>
        <w:tabs>
          <w:tab w:val="left" w:pos="1496"/>
        </w:tabs>
        <w:jc w:val="both"/>
        <w:rPr>
          <w:color w:val="000000"/>
          <w:lang w:val="es-AR"/>
        </w:rPr>
      </w:pPr>
    </w:p>
    <w:p w14:paraId="0167D68C" w14:textId="77777777" w:rsidR="002F2AEC" w:rsidRPr="00097457" w:rsidRDefault="002F2AEC" w:rsidP="002F2AEC">
      <w:pPr>
        <w:pStyle w:val="Textoindependiente"/>
        <w:tabs>
          <w:tab w:val="left" w:pos="1496"/>
        </w:tabs>
        <w:jc w:val="both"/>
        <w:rPr>
          <w:color w:val="000000"/>
          <w:lang w:val="es-AR"/>
        </w:rPr>
      </w:pPr>
      <w:r w:rsidRPr="00097457">
        <w:rPr>
          <w:color w:val="000000"/>
          <w:u w:val="single"/>
          <w:lang w:val="es-AR"/>
        </w:rPr>
        <w:t>Fecha de Emisión</w:t>
      </w:r>
      <w:r w:rsidRPr="00097457">
        <w:rPr>
          <w:color w:val="000000"/>
          <w:lang w:val="es-AR"/>
        </w:rPr>
        <w:t>:</w:t>
      </w:r>
      <w:r>
        <w:rPr>
          <w:color w:val="000000"/>
          <w:lang w:val="es-AR"/>
        </w:rPr>
        <w:t xml:space="preserve"> </w:t>
      </w:r>
      <w:r w:rsidRPr="003C02F3">
        <w:rPr>
          <w:lang w:val="es-AR"/>
        </w:rPr>
        <w:t>Será a los tres Días Hábiles de la fecha en que concluya el Período de Subasta Pública, es decir, el 15 de diciembre de 2025, o en aquella otra fecha que se informe oportunamente mediante el Aviso de Resultados</w:t>
      </w:r>
      <w:r>
        <w:rPr>
          <w:lang w:val="es-AR"/>
        </w:rPr>
        <w:t>.</w:t>
      </w:r>
    </w:p>
    <w:p w14:paraId="079E6D9D" w14:textId="77777777" w:rsidR="002F2AEC" w:rsidRPr="00097457" w:rsidRDefault="002F2AEC" w:rsidP="002F2AEC">
      <w:pPr>
        <w:widowControl w:val="0"/>
        <w:ind w:right="-18"/>
        <w:jc w:val="both"/>
        <w:rPr>
          <w:lang w:val="es-AR"/>
        </w:rPr>
      </w:pPr>
    </w:p>
    <w:p w14:paraId="63DFCEB7" w14:textId="77777777" w:rsidR="002F2AEC" w:rsidRPr="00097457" w:rsidRDefault="002F2AEC" w:rsidP="002F2AEC">
      <w:pPr>
        <w:widowControl w:val="0"/>
        <w:ind w:right="-18"/>
        <w:jc w:val="both"/>
        <w:rPr>
          <w:lang w:val="es-AR"/>
        </w:rPr>
      </w:pPr>
      <w:r w:rsidRPr="00097457">
        <w:rPr>
          <w:lang w:val="es-AR"/>
        </w:rPr>
        <w:t>Todos los datos informados en la presente revisten el carácter de declaración jurada y son correctos y completos a la fecha.</w:t>
      </w:r>
      <w:r>
        <w:rPr>
          <w:lang w:val="es-AR"/>
        </w:rPr>
        <w:t xml:space="preserve"> </w:t>
      </w:r>
    </w:p>
    <w:p w14:paraId="1C0A2E0B" w14:textId="77777777" w:rsidR="002F2AEC" w:rsidRPr="00097457" w:rsidRDefault="002F2AEC" w:rsidP="002F2AEC">
      <w:pPr>
        <w:widowControl w:val="0"/>
        <w:ind w:right="-18"/>
        <w:jc w:val="both"/>
        <w:rPr>
          <w:lang w:val="es-AR"/>
        </w:rPr>
      </w:pPr>
    </w:p>
    <w:p w14:paraId="4D9518D6" w14:textId="77777777" w:rsidR="002F2AEC" w:rsidRPr="00097457" w:rsidRDefault="002F2AEC" w:rsidP="002F2AEC">
      <w:pPr>
        <w:widowControl w:val="0"/>
        <w:jc w:val="both"/>
        <w:rPr>
          <w:smallCaps/>
          <w:lang w:val="es-AR"/>
        </w:rPr>
      </w:pPr>
      <w:r w:rsidRPr="00097457">
        <w:rPr>
          <w:smallCaps/>
          <w:lang w:val="es-AR"/>
        </w:rPr>
        <w:t>NOMBRE/RAZÓN SOCIAL: _______________________________</w:t>
      </w:r>
    </w:p>
    <w:p w14:paraId="6BE6B676" w14:textId="77777777" w:rsidR="002F2AEC" w:rsidRPr="00097457" w:rsidRDefault="002F2AEC" w:rsidP="002F2AEC">
      <w:pPr>
        <w:widowControl w:val="0"/>
        <w:jc w:val="both"/>
        <w:rPr>
          <w:smallCaps/>
          <w:lang w:val="es-AR"/>
        </w:rPr>
      </w:pPr>
      <w:r w:rsidRPr="00097457">
        <w:rPr>
          <w:smallCaps/>
          <w:lang w:val="es-AR"/>
        </w:rPr>
        <w:t>FIRMA: _____________________________________________</w:t>
      </w:r>
    </w:p>
    <w:p w14:paraId="0CF2BC37" w14:textId="77777777" w:rsidR="002F2AEC" w:rsidRPr="00097457" w:rsidRDefault="002F2AEC" w:rsidP="002F2AEC">
      <w:pPr>
        <w:widowControl w:val="0"/>
        <w:jc w:val="both"/>
        <w:rPr>
          <w:smallCaps/>
          <w:lang w:val="es-AR"/>
        </w:rPr>
      </w:pPr>
      <w:r w:rsidRPr="00097457">
        <w:rPr>
          <w:smallCaps/>
          <w:lang w:val="es-AR"/>
        </w:rPr>
        <w:t>ACLARACIÓN: ________________________________________</w:t>
      </w:r>
    </w:p>
    <w:p w14:paraId="572B3A75" w14:textId="77777777" w:rsidR="002F2AEC" w:rsidRPr="00097457" w:rsidRDefault="002F2AEC" w:rsidP="002F2AEC">
      <w:pPr>
        <w:widowControl w:val="0"/>
        <w:jc w:val="both"/>
        <w:rPr>
          <w:smallCaps/>
          <w:lang w:val="pt-BR"/>
        </w:rPr>
      </w:pPr>
      <w:r w:rsidRPr="00097457">
        <w:rPr>
          <w:smallCaps/>
          <w:lang w:val="pt-BR"/>
        </w:rPr>
        <w:t>CARÁCTER: __________________________________________</w:t>
      </w:r>
    </w:p>
    <w:p w14:paraId="03D7F6B5" w14:textId="639E01D2" w:rsidR="00452AE1" w:rsidRDefault="002F2AEC" w:rsidP="002F2AEC">
      <w:pPr>
        <w:widowControl w:val="0"/>
        <w:jc w:val="both"/>
        <w:rPr>
          <w:smallCaps/>
          <w:lang w:val="pt-BR"/>
        </w:rPr>
      </w:pPr>
      <w:r w:rsidRPr="00097457">
        <w:rPr>
          <w:smallCaps/>
          <w:lang w:val="pt-BR"/>
        </w:rPr>
        <w:t>C.U.I.T. / DOCUMENTO N°: ___________________________</w:t>
      </w:r>
    </w:p>
    <w:p w14:paraId="1B71A31D" w14:textId="32C064AB" w:rsidR="002F2AEC" w:rsidRPr="00C90C1C" w:rsidRDefault="00452AE1" w:rsidP="00E22CD2">
      <w:pPr>
        <w:ind w:right="-14" w:firstLine="720"/>
        <w:jc w:val="both"/>
        <w:rPr>
          <w:lang w:val="es-AR"/>
        </w:rPr>
        <w:sectPr w:rsidR="002F2AEC" w:rsidRPr="00C90C1C" w:rsidSect="002F2AEC">
          <w:footerReference w:type="first" r:id="rId9"/>
          <w:pgSz w:w="11906" w:h="16838"/>
          <w:pgMar w:top="1140" w:right="1701" w:bottom="1140" w:left="1701" w:header="720" w:footer="720" w:gutter="0"/>
          <w:cols w:space="708"/>
          <w:titlePg/>
          <w:docGrid w:linePitch="360"/>
        </w:sectPr>
      </w:pPr>
      <w:bookmarkStart w:id="1" w:name="_Hlk215733607"/>
      <w:r w:rsidRPr="005762B5">
        <w:rPr>
          <w:rFonts w:ascii="Garamond" w:hAnsi="Garamond"/>
          <w:bCs/>
          <w:sz w:val="22"/>
        </w:rPr>
        <w:t xml:space="preserve">EL PRESENTE FORMULARIO DE SUSCRIPCIÓN PODRÁ EMITIRSE AL COLOCADOR BANCO DE SERVICIOS Y TRANSACCIONES S.A. DURANTE EL PERÍODO DE LICITACIÓN (I) MEDIANTE CORREO ELECTRONICO A MESA@BST.COM.AR, ATENCIÓN </w:t>
      </w:r>
      <w:r>
        <w:rPr>
          <w:rFonts w:ascii="Garamond" w:hAnsi="Garamond"/>
          <w:bCs/>
          <w:sz w:val="22"/>
        </w:rPr>
        <w:t>PAZ SEMENTUCH/</w:t>
      </w:r>
      <w:r w:rsidRPr="005762B5">
        <w:rPr>
          <w:rFonts w:ascii="Garamond" w:hAnsi="Garamond"/>
          <w:bCs/>
          <w:sz w:val="22"/>
        </w:rPr>
        <w:t>MATIAS VELOSO/</w:t>
      </w:r>
      <w:r w:rsidRPr="00301740">
        <w:rPr>
          <w:rFonts w:ascii="Garamond" w:hAnsi="Garamond"/>
          <w:bCs/>
          <w:sz w:val="22"/>
        </w:rPr>
        <w:t xml:space="preserve"> PABLO KENNY/LAUTARO GARCÍA; O (II) EN MANO EN EL DOMICILIO DEL COLOCADOR SITO EN TTE. GRAL. JUAN DOMINGO PERÓN 646 PISO </w:t>
      </w:r>
      <w:r>
        <w:rPr>
          <w:rFonts w:ascii="Garamond" w:hAnsi="Garamond"/>
          <w:bCs/>
          <w:sz w:val="22"/>
        </w:rPr>
        <w:t>4</w:t>
      </w:r>
      <w:r w:rsidRPr="00301740">
        <w:rPr>
          <w:rFonts w:ascii="Garamond" w:hAnsi="Garamond"/>
          <w:bCs/>
          <w:sz w:val="22"/>
        </w:rPr>
        <w:t>, C1038AAN CDAD. AUTÓNOMA</w:t>
      </w:r>
      <w:r w:rsidRPr="005762B5">
        <w:rPr>
          <w:rFonts w:ascii="Garamond" w:hAnsi="Garamond"/>
          <w:bCs/>
          <w:sz w:val="22"/>
        </w:rPr>
        <w:t xml:space="preserve"> DE BUENOS AIRES, REPÚBLICA ARGENTINA, EN EL HORARIO HABITUAL DE LA ACTIVIDAD COMERCIAL O DE </w:t>
      </w:r>
      <w:smartTag w:uri="urn:schemas-microsoft-com:office:smarttags" w:element="metricconverter">
        <w:smartTagPr>
          <w:attr w:name="ProductID" w:val="10 A"/>
        </w:smartTagPr>
        <w:r w:rsidRPr="005762B5">
          <w:rPr>
            <w:rFonts w:ascii="Garamond" w:hAnsi="Garamond"/>
            <w:bCs/>
            <w:sz w:val="22"/>
          </w:rPr>
          <w:t>10 A</w:t>
        </w:r>
      </w:smartTag>
      <w:r w:rsidRPr="005762B5">
        <w:rPr>
          <w:rFonts w:ascii="Garamond" w:hAnsi="Garamond"/>
          <w:bCs/>
          <w:sz w:val="22"/>
        </w:rPr>
        <w:t xml:space="preserve"> 16 HORAS. EL EJEMPLAR ORIGINAL DEBERÁ ESTAR DEBIDAMENTE FIRMADO</w:t>
      </w:r>
      <w:bookmarkEnd w:id="1"/>
    </w:p>
    <w:bookmarkEnd w:id="0"/>
    <w:p w14:paraId="11B4F7C1" w14:textId="6D1ACDC4" w:rsidR="00452AE1" w:rsidRPr="00452AE1" w:rsidRDefault="00452AE1" w:rsidP="00452AE1">
      <w:pPr>
        <w:pStyle w:val="Ttulo1"/>
        <w:rPr>
          <w:rFonts w:ascii="CG Times" w:hAnsi="CG Times"/>
          <w:b/>
          <w:bCs/>
          <w:lang w:val="es-AR"/>
        </w:rPr>
      </w:pPr>
    </w:p>
    <w:sectPr w:rsidR="00452AE1" w:rsidRPr="00452AE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A84E" w14:textId="77777777" w:rsidR="00E22CD2" w:rsidRDefault="00E22CD2">
      <w:r>
        <w:separator/>
      </w:r>
    </w:p>
  </w:endnote>
  <w:endnote w:type="continuationSeparator" w:id="0">
    <w:p w14:paraId="52A4FD98" w14:textId="77777777" w:rsidR="00E22CD2" w:rsidRDefault="00E2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854810"/>
      <w:docPartObj>
        <w:docPartGallery w:val="Page Numbers (Bottom of Page)"/>
        <w:docPartUnique/>
      </w:docPartObj>
    </w:sdtPr>
    <w:sdtContent>
      <w:p w14:paraId="03138635" w14:textId="3F43DD06" w:rsidR="00452AE1" w:rsidRDefault="00452AE1">
        <w:pPr>
          <w:pStyle w:val="Piedepgina"/>
          <w:jc w:val="center"/>
        </w:pPr>
        <w:r>
          <w:fldChar w:fldCharType="begin"/>
        </w:r>
        <w:r>
          <w:instrText>PAGE   \* MERGEFORMAT</w:instrText>
        </w:r>
        <w:r>
          <w:fldChar w:fldCharType="separate"/>
        </w:r>
        <w:r>
          <w:t>2</w:t>
        </w:r>
        <w:r>
          <w:fldChar w:fldCharType="end"/>
        </w:r>
      </w:p>
    </w:sdtContent>
  </w:sdt>
  <w:p w14:paraId="2BE9D90A" w14:textId="77777777" w:rsidR="002F2AEC" w:rsidRDefault="002F2A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3210" w14:textId="77777777" w:rsidR="00E22CD2" w:rsidRDefault="00E22CD2">
      <w:r>
        <w:separator/>
      </w:r>
    </w:p>
  </w:footnote>
  <w:footnote w:type="continuationSeparator" w:id="0">
    <w:p w14:paraId="33D9D1C3" w14:textId="77777777" w:rsidR="00E22CD2" w:rsidRDefault="00E22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2393C"/>
    <w:multiLevelType w:val="hybridMultilevel"/>
    <w:tmpl w:val="303016FA"/>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D2E3BC6"/>
    <w:multiLevelType w:val="hybridMultilevel"/>
    <w:tmpl w:val="52E228FE"/>
    <w:lvl w:ilvl="0" w:tplc="60E49B0A">
      <w:start w:val="1"/>
      <w:numFmt w:val="upperLetter"/>
      <w:lvlText w:val="%1."/>
      <w:lvlJc w:val="left"/>
      <w:pPr>
        <w:ind w:left="1065" w:hanging="360"/>
      </w:pPr>
      <w:rPr>
        <w:rFonts w:cs="Times New Roman" w:hint="default"/>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num w:numId="1" w16cid:durableId="537477473">
    <w:abstractNumId w:val="0"/>
  </w:num>
  <w:num w:numId="2" w16cid:durableId="1918585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EC"/>
    <w:rsid w:val="001C3127"/>
    <w:rsid w:val="00250792"/>
    <w:rsid w:val="002F2AEC"/>
    <w:rsid w:val="00452AE1"/>
    <w:rsid w:val="00D70041"/>
    <w:rsid w:val="00E22CD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BBF2A0D"/>
  <w15:chartTrackingRefBased/>
  <w15:docId w15:val="{CBB9EEF8-89DC-4F7F-85A2-211FEA69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EC"/>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qFormat/>
    <w:rsid w:val="002F2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2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2A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2A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2A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2AE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2AE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2AE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2AE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2A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2A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2A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2A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2A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2A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2A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2A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2AEC"/>
    <w:rPr>
      <w:rFonts w:eastAsiaTheme="majorEastAsia" w:cstheme="majorBidi"/>
      <w:color w:val="272727" w:themeColor="text1" w:themeTint="D8"/>
    </w:rPr>
  </w:style>
  <w:style w:type="paragraph" w:styleId="Ttulo">
    <w:name w:val="Title"/>
    <w:basedOn w:val="Normal"/>
    <w:next w:val="Normal"/>
    <w:link w:val="TtuloCar"/>
    <w:uiPriority w:val="10"/>
    <w:qFormat/>
    <w:rsid w:val="002F2AE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2A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2A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2A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2AEC"/>
    <w:pPr>
      <w:spacing w:before="160"/>
      <w:jc w:val="center"/>
    </w:pPr>
    <w:rPr>
      <w:i/>
      <w:iCs/>
      <w:color w:val="404040" w:themeColor="text1" w:themeTint="BF"/>
    </w:rPr>
  </w:style>
  <w:style w:type="character" w:customStyle="1" w:styleId="CitaCar">
    <w:name w:val="Cita Car"/>
    <w:basedOn w:val="Fuentedeprrafopredeter"/>
    <w:link w:val="Cita"/>
    <w:uiPriority w:val="29"/>
    <w:rsid w:val="002F2AEC"/>
    <w:rPr>
      <w:i/>
      <w:iCs/>
      <w:color w:val="404040" w:themeColor="text1" w:themeTint="BF"/>
    </w:rPr>
  </w:style>
  <w:style w:type="paragraph" w:styleId="Prrafodelista">
    <w:name w:val="List Paragraph"/>
    <w:aliases w:val="Used List Paragraph,הערת שוליים,פיסקת רשימה,פיסקת רשימה1"/>
    <w:basedOn w:val="Normal"/>
    <w:link w:val="PrrafodelistaCar"/>
    <w:uiPriority w:val="34"/>
    <w:qFormat/>
    <w:rsid w:val="002F2AEC"/>
    <w:pPr>
      <w:ind w:left="720"/>
      <w:contextualSpacing/>
    </w:pPr>
  </w:style>
  <w:style w:type="character" w:styleId="nfasisintenso">
    <w:name w:val="Intense Emphasis"/>
    <w:basedOn w:val="Fuentedeprrafopredeter"/>
    <w:uiPriority w:val="21"/>
    <w:qFormat/>
    <w:rsid w:val="002F2AEC"/>
    <w:rPr>
      <w:i/>
      <w:iCs/>
      <w:color w:val="0F4761" w:themeColor="accent1" w:themeShade="BF"/>
    </w:rPr>
  </w:style>
  <w:style w:type="paragraph" w:styleId="Citadestacada">
    <w:name w:val="Intense Quote"/>
    <w:basedOn w:val="Normal"/>
    <w:next w:val="Normal"/>
    <w:link w:val="CitadestacadaCar"/>
    <w:uiPriority w:val="30"/>
    <w:qFormat/>
    <w:rsid w:val="002F2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2AEC"/>
    <w:rPr>
      <w:i/>
      <w:iCs/>
      <w:color w:val="0F4761" w:themeColor="accent1" w:themeShade="BF"/>
    </w:rPr>
  </w:style>
  <w:style w:type="character" w:styleId="Referenciaintensa">
    <w:name w:val="Intense Reference"/>
    <w:basedOn w:val="Fuentedeprrafopredeter"/>
    <w:uiPriority w:val="32"/>
    <w:qFormat/>
    <w:rsid w:val="002F2AEC"/>
    <w:rPr>
      <w:b/>
      <w:bCs/>
      <w:smallCaps/>
      <w:color w:val="0F4761" w:themeColor="accent1" w:themeShade="BF"/>
      <w:spacing w:val="5"/>
    </w:rPr>
  </w:style>
  <w:style w:type="paragraph" w:styleId="Piedepgina">
    <w:name w:val="footer"/>
    <w:aliases w:val="pie de página"/>
    <w:basedOn w:val="Normal"/>
    <w:link w:val="PiedepginaCar"/>
    <w:uiPriority w:val="99"/>
    <w:rsid w:val="002F2AEC"/>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2F2AEC"/>
    <w:rPr>
      <w:rFonts w:ascii="Times New Roman" w:eastAsia="Times New Roman" w:hAnsi="Times New Roman" w:cs="Times New Roman"/>
      <w:kern w:val="0"/>
      <w:lang w:val="es-ES" w:eastAsia="es-ES"/>
      <w14:ligatures w14:val="none"/>
    </w:rPr>
  </w:style>
  <w:style w:type="paragraph" w:styleId="Sangradetextonormal">
    <w:name w:val="Body Text Indent"/>
    <w:basedOn w:val="Normal"/>
    <w:link w:val="SangradetextonormalCar"/>
    <w:rsid w:val="002F2AEC"/>
    <w:pPr>
      <w:ind w:left="708" w:hanging="708"/>
      <w:jc w:val="both"/>
    </w:pPr>
    <w:rPr>
      <w:rFonts w:eastAsia="Arial Unicode MS"/>
    </w:rPr>
  </w:style>
  <w:style w:type="character" w:customStyle="1" w:styleId="SangradetextonormalCar">
    <w:name w:val="Sangría de texto normal Car"/>
    <w:basedOn w:val="Fuentedeprrafopredeter"/>
    <w:link w:val="Sangradetextonormal"/>
    <w:rsid w:val="002F2AEC"/>
    <w:rPr>
      <w:rFonts w:ascii="Times New Roman" w:eastAsia="Arial Unicode MS" w:hAnsi="Times New Roman" w:cs="Times New Roman"/>
      <w:kern w:val="0"/>
      <w:lang w:val="es-ES" w:eastAsia="es-ES"/>
      <w14:ligatures w14:val="none"/>
    </w:rPr>
  </w:style>
  <w:style w:type="paragraph" w:styleId="Textoindependiente">
    <w:name w:val="Body Text"/>
    <w:aliases w:val="body text,bt,b,Body,by,Text,Body1,Text1,b10pt,body,B,byA,by 14pt,Title1,t1,2,heading2,21,Indent1,31,Body2,Text2,newBody"/>
    <w:basedOn w:val="Normal"/>
    <w:link w:val="TextoindependienteCar"/>
    <w:rsid w:val="002F2AEC"/>
  </w:style>
  <w:style w:type="character" w:customStyle="1" w:styleId="TextoindependienteCar">
    <w:name w:val="Texto independiente Car"/>
    <w:aliases w:val="body text Car,bt Car,b Car,Body Car,by Car,Text Car,Body1 Car,Text1 Car,b10pt Car,body Car,B Car,byA Car,by 14pt Car,Title1 Car,t1 Car,2 Car,heading2 Car,21 Car,Indent1 Car,31 Car,Body2 Car,Text2 Car,newBody Car"/>
    <w:basedOn w:val="Fuentedeprrafopredeter"/>
    <w:link w:val="Textoindependiente"/>
    <w:rsid w:val="002F2AEC"/>
    <w:rPr>
      <w:rFonts w:ascii="Times New Roman" w:eastAsia="Times New Roman" w:hAnsi="Times New Roman" w:cs="Times New Roman"/>
      <w:kern w:val="0"/>
      <w:lang w:val="es-ES" w:eastAsia="es-ES"/>
      <w14:ligatures w14:val="none"/>
    </w:rPr>
  </w:style>
  <w:style w:type="paragraph" w:styleId="Sangra3detindependiente">
    <w:name w:val="Body Text Indent 3"/>
    <w:basedOn w:val="Normal"/>
    <w:link w:val="Sangra3detindependienteCar"/>
    <w:rsid w:val="002F2AEC"/>
    <w:pPr>
      <w:autoSpaceDE w:val="0"/>
      <w:autoSpaceDN w:val="0"/>
      <w:adjustRightInd w:val="0"/>
      <w:ind w:right="-441" w:firstLine="708"/>
      <w:jc w:val="both"/>
    </w:pPr>
    <w:rPr>
      <w:sz w:val="16"/>
      <w:szCs w:val="16"/>
      <w:lang w:val="es-AR" w:eastAsia="en-US"/>
    </w:rPr>
  </w:style>
  <w:style w:type="character" w:customStyle="1" w:styleId="Sangra3detindependienteCar">
    <w:name w:val="Sangría 3 de t. independiente Car"/>
    <w:basedOn w:val="Fuentedeprrafopredeter"/>
    <w:link w:val="Sangra3detindependiente"/>
    <w:rsid w:val="002F2AEC"/>
    <w:rPr>
      <w:rFonts w:ascii="Times New Roman" w:eastAsia="Times New Roman" w:hAnsi="Times New Roman" w:cs="Times New Roman"/>
      <w:kern w:val="0"/>
      <w:sz w:val="16"/>
      <w:szCs w:val="16"/>
      <w:lang w:val="es-AR"/>
      <w14:ligatures w14:val="none"/>
    </w:rPr>
  </w:style>
  <w:style w:type="character" w:styleId="Hipervnculo">
    <w:name w:val="Hyperlink"/>
    <w:rsid w:val="002F2AEC"/>
    <w:rPr>
      <w:rFonts w:cs="Times New Roman"/>
      <w:color w:val="0000FF"/>
      <w:u w:val="single"/>
    </w:rPr>
  </w:style>
  <w:style w:type="paragraph" w:customStyle="1" w:styleId="Prrafodelista1">
    <w:name w:val="Párrafo de lista1"/>
    <w:basedOn w:val="Normal"/>
    <w:qFormat/>
    <w:rsid w:val="002F2AEC"/>
    <w:pPr>
      <w:ind w:left="708"/>
    </w:pPr>
    <w:rPr>
      <w:szCs w:val="20"/>
      <w:lang w:val="es-AR"/>
    </w:rPr>
  </w:style>
  <w:style w:type="character" w:customStyle="1" w:styleId="PrrafodelistaCar">
    <w:name w:val="Párrafo de lista Car"/>
    <w:aliases w:val="Used List Paragraph Car,הערת שוליים Car,פיסקת רשימה Car,פיסקת רשימה1 Car"/>
    <w:link w:val="Prrafodelista"/>
    <w:uiPriority w:val="34"/>
    <w:locked/>
    <w:rsid w:val="002F2AEC"/>
  </w:style>
  <w:style w:type="table" w:styleId="Tablaconcuadrcula">
    <w:name w:val="Table Grid"/>
    <w:basedOn w:val="Tablanormal"/>
    <w:rsid w:val="002F2AE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2F2AEC"/>
  </w:style>
  <w:style w:type="paragraph" w:styleId="Revisin">
    <w:name w:val="Revision"/>
    <w:hidden/>
    <w:uiPriority w:val="99"/>
    <w:semiHidden/>
    <w:rsid w:val="00452AE1"/>
    <w:pPr>
      <w:spacing w:after="0" w:line="240" w:lineRule="auto"/>
    </w:pPr>
    <w:rPr>
      <w:rFonts w:ascii="Times New Roman" w:eastAsia="Times New Roman" w:hAnsi="Times New Roman" w:cs="Times New Roman"/>
      <w:kern w:val="0"/>
      <w:lang w:val="es-ES" w:eastAsia="es-ES"/>
      <w14:ligatures w14:val="none"/>
    </w:rPr>
  </w:style>
  <w:style w:type="paragraph" w:styleId="Textodebloque">
    <w:name w:val="Block Text"/>
    <w:aliases w:val="blk"/>
    <w:basedOn w:val="Normal"/>
    <w:next w:val="Normal"/>
    <w:link w:val="TextodebloqueCar"/>
    <w:qFormat/>
    <w:rsid w:val="00452AE1"/>
    <w:pPr>
      <w:widowControl w:val="0"/>
      <w:autoSpaceDE w:val="0"/>
      <w:autoSpaceDN w:val="0"/>
      <w:adjustRightInd w:val="0"/>
      <w:spacing w:after="240"/>
    </w:pPr>
    <w:rPr>
      <w:rFonts w:ascii="Batang" w:eastAsia="Batang" w:cs="Batang"/>
      <w:lang w:val="en-US"/>
    </w:rPr>
  </w:style>
  <w:style w:type="character" w:customStyle="1" w:styleId="TextodebloqueCar">
    <w:name w:val="Texto de bloque Car"/>
    <w:aliases w:val="blk Car"/>
    <w:link w:val="Textodebloque"/>
    <w:rsid w:val="00452AE1"/>
    <w:rPr>
      <w:rFonts w:ascii="Batang" w:eastAsia="Batang" w:hAnsi="Times New Roman" w:cs="Batang"/>
      <w:kern w:val="0"/>
      <w:lang w:val="en-US" w:eastAsia="es-ES"/>
      <w14:ligatures w14:val="none"/>
    </w:rPr>
  </w:style>
  <w:style w:type="paragraph" w:styleId="Encabezado">
    <w:name w:val="header"/>
    <w:basedOn w:val="Normal"/>
    <w:link w:val="EncabezadoCar"/>
    <w:uiPriority w:val="99"/>
    <w:unhideWhenUsed/>
    <w:rsid w:val="00452AE1"/>
    <w:pPr>
      <w:tabs>
        <w:tab w:val="center" w:pos="4252"/>
        <w:tab w:val="right" w:pos="8504"/>
      </w:tabs>
    </w:pPr>
  </w:style>
  <w:style w:type="character" w:customStyle="1" w:styleId="EncabezadoCar">
    <w:name w:val="Encabezado Car"/>
    <w:basedOn w:val="Fuentedeprrafopredeter"/>
    <w:link w:val="Encabezado"/>
    <w:uiPriority w:val="99"/>
    <w:rsid w:val="00452AE1"/>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2585</Words>
  <Characters>13987</Characters>
  <Application>Microsoft Office Word</Application>
  <DocSecurity>0</DocSecurity>
  <Lines>274</Lines>
  <Paragraphs>77</Paragraphs>
  <ScaleCrop>false</ScaleCrop>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Aranda</dc:creator>
  <cp:keywords/>
  <dc:description/>
  <cp:lastModifiedBy>Maria Aranda</cp:lastModifiedBy>
  <cp:revision>3</cp:revision>
  <dcterms:created xsi:type="dcterms:W3CDTF">2025-12-09T20:51:00Z</dcterms:created>
  <dcterms:modified xsi:type="dcterms:W3CDTF">2025-12-09T21:04:00Z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2025-12-09T20:52:05Z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6744a3f2-c56e-4933-af58-24442d23e890</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